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F3A180A" w14:textId="6DFA6752" w:rsidR="004023D6" w:rsidRDefault="002922D1" w:rsidP="004023D6">
      <w:pPr>
        <w:spacing w:after="240" w:line="273" w:lineRule="auto"/>
        <w:jc w:val="center"/>
        <w:rPr>
          <w:b/>
          <w:bCs/>
          <w:caps/>
          <w:lang w:val="fr-CD"/>
        </w:rPr>
      </w:pPr>
      <w:r>
        <w:rPr>
          <w:b/>
          <w:bCs/>
          <w:caps/>
          <w:noProof/>
          <w:lang w:val="fr-BE" w:eastAsia="fr-BE"/>
        </w:rPr>
        <mc:AlternateContent>
          <mc:Choice Requires="wps">
            <w:drawing>
              <wp:anchor distT="0" distB="0" distL="114300" distR="114300" simplePos="0" relativeHeight="251659264" behindDoc="0" locked="0" layoutInCell="1" allowOverlap="1" wp14:anchorId="196F5716" wp14:editId="6AB9557B">
                <wp:simplePos x="0" y="0"/>
                <wp:positionH relativeFrom="column">
                  <wp:posOffset>5080</wp:posOffset>
                </wp:positionH>
                <wp:positionV relativeFrom="paragraph">
                  <wp:posOffset>-223520</wp:posOffset>
                </wp:positionV>
                <wp:extent cx="6181725" cy="857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181725" cy="8572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EC53A3E" id="Rectangle 3" o:spid="_x0000_s1026" style="position:absolute;margin-left:.4pt;margin-top:-17.6pt;width:486.7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" filled="f" strokecolor="#1f4d78 [1604]" strokeweight="1.5pt"/>
            </w:pict>
          </mc:Fallback>
        </mc:AlternateContent>
      </w:r>
      <w:r w:rsidR="004023D6" w:rsidRPr="001B53EC">
        <w:rPr>
          <w:b/>
          <w:bCs/>
          <w:caps/>
          <w:lang w:val="fr-CD"/>
        </w:rPr>
        <w:t>Termes de référe</w:t>
      </w:r>
      <w:r w:rsidR="00330258" w:rsidRPr="001B53EC">
        <w:rPr>
          <w:b/>
          <w:bCs/>
          <w:caps/>
          <w:lang w:val="fr-CD"/>
        </w:rPr>
        <w:t>nce et Etendue des Services dU</w:t>
      </w:r>
      <w:r w:rsidR="004023D6" w:rsidRPr="001B53EC">
        <w:rPr>
          <w:b/>
          <w:bCs/>
          <w:caps/>
          <w:lang w:val="fr-CD"/>
        </w:rPr>
        <w:t xml:space="preserve"> CHAUFFEUR</w:t>
      </w:r>
      <w:r w:rsidR="00FD20D1">
        <w:rPr>
          <w:b/>
          <w:bCs/>
          <w:caps/>
          <w:lang w:val="fr-CD"/>
        </w:rPr>
        <w:t xml:space="preserve"> DE SERVICE</w:t>
      </w:r>
      <w:r w:rsidR="000B4AA2">
        <w:rPr>
          <w:b/>
          <w:bCs/>
          <w:caps/>
          <w:lang w:val="fr-CD"/>
        </w:rPr>
        <w:t>/ POINT FOCAL DE SECURITE</w:t>
      </w:r>
    </w:p>
    <w:p w14:paraId="48DDE4DA" w14:textId="77777777" w:rsidR="002922D1" w:rsidRPr="005718D4" w:rsidRDefault="002922D1" w:rsidP="004023D6">
      <w:pPr>
        <w:spacing w:after="240" w:line="273" w:lineRule="auto"/>
        <w:jc w:val="center"/>
        <w:rPr>
          <w:rFonts w:asciiTheme="minorHAnsi" w:hAnsiTheme="minorHAnsi" w:cstheme="minorHAnsi"/>
          <w:b/>
          <w:bCs/>
          <w:caps/>
          <w:sz w:val="22"/>
          <w:szCs w:val="22"/>
          <w:lang w:val="fr-CD"/>
        </w:rPr>
      </w:pPr>
    </w:p>
    <w:p w14:paraId="18134CA0" w14:textId="77777777" w:rsidR="00DF4A05" w:rsidRPr="005718D4" w:rsidRDefault="00DF4A05" w:rsidP="00DF4A05">
      <w:pPr>
        <w:pStyle w:val="Paragraphedeliste"/>
        <w:numPr>
          <w:ilvl w:val="0"/>
          <w:numId w:val="17"/>
        </w:numPr>
        <w:spacing w:after="160" w:line="259" w:lineRule="auto"/>
        <w:jc w:val="both"/>
        <w:rPr>
          <w:rFonts w:asciiTheme="minorHAnsi" w:hAnsiTheme="minorHAnsi" w:cstheme="minorHAnsi"/>
          <w:b/>
        </w:rPr>
      </w:pPr>
      <w:r w:rsidRPr="005718D4">
        <w:rPr>
          <w:rFonts w:asciiTheme="minorHAnsi" w:hAnsiTheme="minorHAnsi" w:cstheme="minorHAnsi"/>
          <w:b/>
        </w:rPr>
        <w:t>CONTEXTE ET JUSTIFICATION</w:t>
      </w:r>
    </w:p>
    <w:p w14:paraId="5B6DE7A4" w14:textId="1D4857F9" w:rsidR="00581522" w:rsidRPr="005718D4" w:rsidRDefault="00581522" w:rsidP="00581522">
      <w:pPr>
        <w:suppressAutoHyphens/>
        <w:jc w:val="both"/>
        <w:rPr>
          <w:rFonts w:asciiTheme="minorHAnsi" w:hAnsiTheme="minorHAnsi" w:cstheme="minorHAnsi"/>
          <w:sz w:val="22"/>
          <w:szCs w:val="22"/>
          <w:lang w:val="fr-FR"/>
        </w:rPr>
      </w:pPr>
      <w:r w:rsidRPr="005718D4">
        <w:rPr>
          <w:rFonts w:asciiTheme="minorHAnsi" w:hAnsiTheme="minorHAnsi" w:cstheme="minorHAnsi"/>
          <w:sz w:val="22"/>
          <w:szCs w:val="22"/>
          <w:lang w:val="fr-FR"/>
        </w:rPr>
        <w:t>Le Gouvernement de la République Dém</w:t>
      </w:r>
      <w:r w:rsidR="00FD20D1" w:rsidRPr="005718D4">
        <w:rPr>
          <w:rFonts w:asciiTheme="minorHAnsi" w:hAnsiTheme="minorHAnsi" w:cstheme="minorHAnsi"/>
          <w:sz w:val="22"/>
          <w:szCs w:val="22"/>
          <w:lang w:val="fr-FR"/>
        </w:rPr>
        <w:t xml:space="preserve">ocratique du Congo a reçu un </w:t>
      </w:r>
      <w:r w:rsidR="00796898" w:rsidRPr="005718D4">
        <w:rPr>
          <w:rFonts w:asciiTheme="minorHAnsi" w:hAnsiTheme="minorHAnsi" w:cstheme="minorHAnsi"/>
          <w:sz w:val="22"/>
          <w:szCs w:val="22"/>
          <w:lang w:val="fr-FR"/>
        </w:rPr>
        <w:t>prêt</w:t>
      </w:r>
      <w:r w:rsidRPr="005718D4">
        <w:rPr>
          <w:rFonts w:asciiTheme="minorHAnsi" w:hAnsiTheme="minorHAnsi" w:cstheme="minorHAnsi"/>
          <w:sz w:val="22"/>
          <w:szCs w:val="22"/>
          <w:lang w:val="fr-FR"/>
        </w:rPr>
        <w:t xml:space="preserve"> d’un montant de (250 millions de dollars) de l’Association Internationale de Développement(IDA) au titre de Financement du Projet de Sta</w:t>
      </w:r>
      <w:r w:rsidR="005B6F95" w:rsidRPr="005718D4">
        <w:rPr>
          <w:rFonts w:asciiTheme="minorHAnsi" w:hAnsiTheme="minorHAnsi" w:cstheme="minorHAnsi"/>
          <w:sz w:val="22"/>
          <w:szCs w:val="22"/>
          <w:lang w:val="fr-FR"/>
        </w:rPr>
        <w:t>bilisation et de Relèvement de</w:t>
      </w:r>
      <w:r w:rsidRPr="005718D4">
        <w:rPr>
          <w:rFonts w:asciiTheme="minorHAnsi" w:hAnsiTheme="minorHAnsi" w:cstheme="minorHAnsi"/>
          <w:sz w:val="22"/>
          <w:szCs w:val="22"/>
          <w:lang w:val="fr-FR"/>
        </w:rPr>
        <w:t xml:space="preserve"> l'Est de la RDC’. </w:t>
      </w:r>
    </w:p>
    <w:p w14:paraId="225C7082" w14:textId="77777777" w:rsidR="00581522" w:rsidRPr="005718D4" w:rsidRDefault="00581522" w:rsidP="00581522">
      <w:pPr>
        <w:suppressAutoHyphens/>
        <w:jc w:val="both"/>
        <w:rPr>
          <w:rFonts w:asciiTheme="minorHAnsi" w:hAnsiTheme="minorHAnsi" w:cstheme="minorHAnsi"/>
          <w:sz w:val="22"/>
          <w:szCs w:val="22"/>
          <w:lang w:val="fr-FR"/>
        </w:rPr>
      </w:pPr>
      <w:r w:rsidRPr="005718D4">
        <w:rPr>
          <w:rFonts w:asciiTheme="minorHAnsi" w:hAnsiTheme="minorHAnsi" w:cstheme="minorHAnsi"/>
          <w:sz w:val="22"/>
          <w:szCs w:val="22"/>
          <w:lang w:val="fr-FR"/>
        </w:rPr>
        <w:t xml:space="preserve">Le Projet de Stabilisation et de Relèvement de l’Est de la RDC (P175834) a pour objectif de soutenir : (i) la fourniture d'infrastructures socio-économiques communautaires de base et (ii) la réinsertion socio-économique durable de personnes sorties des forces et groupes armés des communautés situées dans les zones ciblées des provinces de Ituri, du Nord-Kivu et du Sud-Kivu. </w:t>
      </w:r>
    </w:p>
    <w:p w14:paraId="4F54F900" w14:textId="77777777" w:rsidR="00581522" w:rsidRPr="005718D4" w:rsidRDefault="00581522" w:rsidP="00581522">
      <w:pPr>
        <w:suppressAutoHyphens/>
        <w:jc w:val="both"/>
        <w:rPr>
          <w:rFonts w:asciiTheme="minorHAnsi" w:hAnsiTheme="minorHAnsi" w:cstheme="minorHAnsi"/>
          <w:sz w:val="22"/>
          <w:szCs w:val="22"/>
          <w:lang w:val="fr-FR"/>
        </w:rPr>
      </w:pPr>
      <w:r w:rsidRPr="005718D4">
        <w:rPr>
          <w:rFonts w:asciiTheme="minorHAnsi" w:hAnsiTheme="minorHAnsi" w:cstheme="minorHAnsi"/>
          <w:sz w:val="22"/>
          <w:szCs w:val="22"/>
          <w:lang w:val="fr-FR"/>
        </w:rPr>
        <w:t>La justification économique du projet est basée sur les éléments suivants : La nécessité de jeter les bases d'un relèvement à plus long terme en créant une plate-forme de projet décentralisée de `` stabilisation '', intégrée dans l’administration provinciale, combinée au renforcement des systèmes de gestion des finances publiques afin que les recettes de l'État puissent garantir la pérennité de l’action.</w:t>
      </w:r>
    </w:p>
    <w:p w14:paraId="09E163AC" w14:textId="77777777" w:rsidR="00581522" w:rsidRPr="005718D4" w:rsidRDefault="00581522" w:rsidP="00581522">
      <w:pPr>
        <w:suppressAutoHyphens/>
        <w:jc w:val="both"/>
        <w:rPr>
          <w:rFonts w:asciiTheme="minorHAnsi" w:hAnsiTheme="minorHAnsi" w:cstheme="minorHAnsi"/>
          <w:sz w:val="22"/>
          <w:szCs w:val="22"/>
          <w:lang w:val="fr-FR"/>
        </w:rPr>
      </w:pPr>
      <w:r w:rsidRPr="005718D4">
        <w:rPr>
          <w:rFonts w:asciiTheme="minorHAnsi" w:hAnsiTheme="minorHAnsi" w:cstheme="minorHAnsi"/>
          <w:sz w:val="22"/>
          <w:szCs w:val="22"/>
          <w:lang w:val="fr-FR"/>
        </w:rPr>
        <w:t>Une nouvelle structure de mise en œuvre préparerait une base pour des investissements de stabilisation et de relèvement à plus long terme. En outre, investir dans une nouvelle structure pourrait être combiné avec un soutien au Gouvernement dans le renforcement des systèmes déconcentrés de gestion des finances publiques et la mobilisation des recettes afin qu'un tel processus de redressement puisse être soutenu par l'État à moyen terme.</w:t>
      </w:r>
    </w:p>
    <w:p w14:paraId="26B97BD4" w14:textId="77777777" w:rsidR="00581522" w:rsidRPr="005718D4" w:rsidRDefault="00581522" w:rsidP="00581522">
      <w:pPr>
        <w:suppressAutoHyphens/>
        <w:jc w:val="both"/>
        <w:rPr>
          <w:rFonts w:asciiTheme="minorHAnsi" w:hAnsiTheme="minorHAnsi" w:cstheme="minorHAnsi"/>
          <w:sz w:val="22"/>
          <w:szCs w:val="22"/>
          <w:lang w:val="fr-FR"/>
        </w:rPr>
      </w:pPr>
      <w:r w:rsidRPr="005718D4">
        <w:rPr>
          <w:rFonts w:asciiTheme="minorHAnsi" w:hAnsiTheme="minorHAnsi" w:cstheme="minorHAnsi"/>
          <w:sz w:val="22"/>
          <w:szCs w:val="22"/>
          <w:lang w:val="fr-FR"/>
        </w:rPr>
        <w:t>Le projet améliorera l'accès aux infrastructures socio-économiques de base pour environ 3,3 millions de personnes résidant dans environ 880 communautés ; il soutiendra également directement les moyens de subsistance d'environ 124000 personnes. Le ciblage géographique et des bénéficiaires sera essentiel pour identifier les communautés où il existe des opportunités d'aide au développement pour jouer un rôle potentiellement transformateur.</w:t>
      </w:r>
    </w:p>
    <w:p w14:paraId="34D02C4A" w14:textId="77777777" w:rsidR="00581522" w:rsidRPr="005718D4" w:rsidRDefault="00581522" w:rsidP="00581522">
      <w:pPr>
        <w:shd w:val="clear" w:color="auto" w:fill="FFFFFF"/>
        <w:jc w:val="both"/>
        <w:rPr>
          <w:rFonts w:asciiTheme="minorHAnsi" w:hAnsiTheme="minorHAnsi" w:cstheme="minorHAnsi"/>
          <w:sz w:val="22"/>
          <w:szCs w:val="22"/>
          <w:lang w:val="fr-FR"/>
        </w:rPr>
      </w:pPr>
    </w:p>
    <w:p w14:paraId="313FD62B" w14:textId="77777777" w:rsidR="00581522" w:rsidRPr="005718D4" w:rsidRDefault="00581522" w:rsidP="00581522">
      <w:pPr>
        <w:spacing w:line="216" w:lineRule="auto"/>
        <w:jc w:val="both"/>
        <w:rPr>
          <w:rFonts w:asciiTheme="minorHAnsi" w:hAnsiTheme="minorHAnsi" w:cstheme="minorHAnsi"/>
          <w:sz w:val="22"/>
          <w:szCs w:val="22"/>
          <w:lang w:val="fr-FR"/>
        </w:rPr>
      </w:pPr>
      <w:r w:rsidRPr="005718D4">
        <w:rPr>
          <w:rFonts w:asciiTheme="minorHAnsi" w:hAnsiTheme="minorHAnsi" w:cstheme="minorHAnsi"/>
          <w:sz w:val="22"/>
          <w:szCs w:val="22"/>
          <w:lang w:val="fr-FR"/>
        </w:rPr>
        <w:t>Le Projet a cinq composantes répartis de la manière suivante ;</w:t>
      </w:r>
    </w:p>
    <w:p w14:paraId="79080DCE" w14:textId="77777777" w:rsidR="00581522" w:rsidRPr="005718D4" w:rsidRDefault="00581522" w:rsidP="00581522">
      <w:pPr>
        <w:spacing w:line="216" w:lineRule="auto"/>
        <w:jc w:val="both"/>
        <w:rPr>
          <w:rFonts w:asciiTheme="minorHAnsi" w:hAnsiTheme="minorHAnsi" w:cstheme="minorHAnsi"/>
          <w:sz w:val="22"/>
          <w:szCs w:val="22"/>
          <w:lang w:val="fr-FR"/>
        </w:rPr>
      </w:pPr>
    </w:p>
    <w:p w14:paraId="45067E0A" w14:textId="0D36CCBA" w:rsidR="00581522" w:rsidRPr="005718D4" w:rsidRDefault="00581522" w:rsidP="00581522">
      <w:pPr>
        <w:pStyle w:val="Paragraphedeliste"/>
        <w:numPr>
          <w:ilvl w:val="0"/>
          <w:numId w:val="19"/>
        </w:numPr>
        <w:autoSpaceDE w:val="0"/>
        <w:autoSpaceDN w:val="0"/>
        <w:adjustRightInd w:val="0"/>
        <w:spacing w:after="160" w:line="216" w:lineRule="auto"/>
        <w:jc w:val="both"/>
        <w:rPr>
          <w:rFonts w:asciiTheme="minorHAnsi" w:hAnsiTheme="minorHAnsi" w:cstheme="minorHAnsi"/>
          <w:b/>
        </w:rPr>
      </w:pPr>
      <w:r w:rsidRPr="005718D4">
        <w:rPr>
          <w:rFonts w:asciiTheme="minorHAnsi" w:hAnsiTheme="minorHAnsi" w:cstheme="minorHAnsi"/>
          <w:b/>
        </w:rPr>
        <w:t>Composante 1 : Stabilisation communautaire (75 millions de dollars)</w:t>
      </w:r>
    </w:p>
    <w:p w14:paraId="251E162F" w14:textId="77777777" w:rsidR="00581522" w:rsidRPr="005718D4" w:rsidRDefault="00581522" w:rsidP="00581522">
      <w:pPr>
        <w:spacing w:line="216" w:lineRule="auto"/>
        <w:ind w:left="360"/>
        <w:jc w:val="both"/>
        <w:rPr>
          <w:rFonts w:asciiTheme="minorHAnsi" w:hAnsiTheme="minorHAnsi" w:cstheme="minorHAnsi"/>
          <w:sz w:val="22"/>
          <w:szCs w:val="22"/>
          <w:lang w:val="fr-FR"/>
        </w:rPr>
      </w:pPr>
      <w:r w:rsidRPr="005718D4">
        <w:rPr>
          <w:rFonts w:asciiTheme="minorHAnsi" w:hAnsiTheme="minorHAnsi" w:cstheme="minorHAnsi"/>
          <w:sz w:val="22"/>
          <w:szCs w:val="22"/>
          <w:lang w:val="fr-FR"/>
        </w:rPr>
        <w:t>Cette composante ciblera environ 430 communautés dans les Entités Territoriales Décentralisées (ETD ou collectivités locales) identifiées par le projet. Sur la base de l'expérience de STEP, concernant le coût moyen d'un sous-projet et les variations de coût par type, secteur et localisation d'un sous-projet, la composante attribuera un plafond de 150 000 USD par communauté. En supposant une facilitation globale des composantes et des frais généraux de 15 pourcent, cela permettrait le financement d'environ 430 communautés et d'un minimum de 433 sous-projets.</w:t>
      </w:r>
    </w:p>
    <w:p w14:paraId="0E45C6AB" w14:textId="77777777" w:rsidR="00581522" w:rsidRPr="005718D4" w:rsidRDefault="00581522" w:rsidP="00581522">
      <w:pPr>
        <w:spacing w:line="216" w:lineRule="auto"/>
        <w:jc w:val="both"/>
        <w:rPr>
          <w:rFonts w:asciiTheme="minorHAnsi" w:hAnsiTheme="minorHAnsi" w:cstheme="minorHAnsi"/>
          <w:sz w:val="22"/>
          <w:szCs w:val="22"/>
          <w:lang w:val="fr-FR"/>
        </w:rPr>
      </w:pPr>
    </w:p>
    <w:p w14:paraId="25E34D70" w14:textId="77777777" w:rsidR="00581522" w:rsidRPr="005718D4" w:rsidRDefault="00581522" w:rsidP="00581522">
      <w:pPr>
        <w:pStyle w:val="Paragraphedeliste"/>
        <w:numPr>
          <w:ilvl w:val="1"/>
          <w:numId w:val="16"/>
        </w:numPr>
        <w:autoSpaceDE w:val="0"/>
        <w:autoSpaceDN w:val="0"/>
        <w:adjustRightInd w:val="0"/>
        <w:spacing w:after="160" w:line="216" w:lineRule="auto"/>
        <w:jc w:val="both"/>
        <w:rPr>
          <w:rFonts w:asciiTheme="minorHAnsi" w:hAnsiTheme="minorHAnsi" w:cstheme="minorHAnsi"/>
        </w:rPr>
      </w:pPr>
      <w:r w:rsidRPr="005718D4">
        <w:rPr>
          <w:rFonts w:asciiTheme="minorHAnsi" w:hAnsiTheme="minorHAnsi" w:cstheme="minorHAnsi"/>
          <w:b/>
        </w:rPr>
        <w:t>Sous-composante I.A</w:t>
      </w:r>
      <w:r w:rsidRPr="005718D4">
        <w:rPr>
          <w:rFonts w:asciiTheme="minorHAnsi" w:hAnsiTheme="minorHAnsi" w:cstheme="minorHAnsi"/>
        </w:rPr>
        <w:t xml:space="preserve"> : Facilitation et renforcement des capacités pour la planification communautaire participative (20 millions de dollars US)</w:t>
      </w:r>
    </w:p>
    <w:p w14:paraId="1C1E87D3" w14:textId="77777777" w:rsidR="00581522" w:rsidRPr="005718D4" w:rsidRDefault="00581522" w:rsidP="00581522">
      <w:pPr>
        <w:pStyle w:val="Paragraphedeliste"/>
        <w:numPr>
          <w:ilvl w:val="1"/>
          <w:numId w:val="16"/>
        </w:numPr>
        <w:autoSpaceDE w:val="0"/>
        <w:autoSpaceDN w:val="0"/>
        <w:adjustRightInd w:val="0"/>
        <w:spacing w:after="160" w:line="216" w:lineRule="auto"/>
        <w:jc w:val="both"/>
        <w:rPr>
          <w:rFonts w:asciiTheme="minorHAnsi" w:hAnsiTheme="minorHAnsi" w:cstheme="minorHAnsi"/>
        </w:rPr>
      </w:pPr>
      <w:r w:rsidRPr="005718D4">
        <w:rPr>
          <w:rFonts w:asciiTheme="minorHAnsi" w:hAnsiTheme="minorHAnsi" w:cstheme="minorHAnsi"/>
          <w:b/>
        </w:rPr>
        <w:t>Sous-composante I.B</w:t>
      </w:r>
      <w:r w:rsidRPr="005718D4">
        <w:rPr>
          <w:rFonts w:asciiTheme="minorHAnsi" w:hAnsiTheme="minorHAnsi" w:cstheme="minorHAnsi"/>
        </w:rPr>
        <w:t xml:space="preserve"> : Investissements dans les infrastructures sociales et économiques communautaires (130 millions de dollars US)</w:t>
      </w:r>
    </w:p>
    <w:p w14:paraId="5A4D5DBA" w14:textId="77777777" w:rsidR="00581522" w:rsidRPr="005718D4" w:rsidRDefault="00581522" w:rsidP="00581522">
      <w:pPr>
        <w:pStyle w:val="Paragraphedeliste"/>
        <w:autoSpaceDE w:val="0"/>
        <w:autoSpaceDN w:val="0"/>
        <w:adjustRightInd w:val="0"/>
        <w:spacing w:line="216" w:lineRule="auto"/>
        <w:jc w:val="both"/>
        <w:rPr>
          <w:rFonts w:asciiTheme="minorHAnsi" w:hAnsiTheme="minorHAnsi" w:cstheme="minorHAnsi"/>
        </w:rPr>
      </w:pPr>
    </w:p>
    <w:p w14:paraId="65118BA0" w14:textId="54BB950B" w:rsidR="00581522" w:rsidRPr="005718D4" w:rsidRDefault="00581522" w:rsidP="00581522">
      <w:pPr>
        <w:pStyle w:val="Paragraphedeliste"/>
        <w:numPr>
          <w:ilvl w:val="0"/>
          <w:numId w:val="19"/>
        </w:numPr>
        <w:autoSpaceDE w:val="0"/>
        <w:autoSpaceDN w:val="0"/>
        <w:adjustRightInd w:val="0"/>
        <w:spacing w:after="160" w:line="216" w:lineRule="auto"/>
        <w:jc w:val="both"/>
        <w:rPr>
          <w:rFonts w:asciiTheme="minorHAnsi" w:hAnsiTheme="minorHAnsi" w:cstheme="minorHAnsi"/>
          <w:b/>
        </w:rPr>
      </w:pPr>
      <w:r w:rsidRPr="005718D4">
        <w:rPr>
          <w:rFonts w:asciiTheme="minorHAnsi" w:hAnsiTheme="minorHAnsi" w:cstheme="minorHAnsi"/>
          <w:b/>
        </w:rPr>
        <w:t>Composante 2 : Réintégration à base communautaire (135 millions de dollars)</w:t>
      </w:r>
    </w:p>
    <w:p w14:paraId="6D2657E8" w14:textId="77777777" w:rsidR="00581522" w:rsidRPr="005718D4" w:rsidRDefault="00581522" w:rsidP="00581522">
      <w:pPr>
        <w:pStyle w:val="Paragraphedeliste"/>
        <w:autoSpaceDE w:val="0"/>
        <w:autoSpaceDN w:val="0"/>
        <w:adjustRightInd w:val="0"/>
        <w:spacing w:line="216" w:lineRule="auto"/>
        <w:jc w:val="both"/>
        <w:rPr>
          <w:rFonts w:asciiTheme="minorHAnsi" w:hAnsiTheme="minorHAnsi" w:cstheme="minorHAnsi"/>
          <w:b/>
        </w:rPr>
      </w:pPr>
    </w:p>
    <w:p w14:paraId="730756DD" w14:textId="77777777" w:rsidR="00581522" w:rsidRPr="005718D4" w:rsidRDefault="00581522" w:rsidP="00581522">
      <w:pPr>
        <w:pStyle w:val="Paragraphedeliste"/>
        <w:numPr>
          <w:ilvl w:val="1"/>
          <w:numId w:val="16"/>
        </w:numPr>
        <w:autoSpaceDE w:val="0"/>
        <w:autoSpaceDN w:val="0"/>
        <w:adjustRightInd w:val="0"/>
        <w:spacing w:after="160" w:line="216" w:lineRule="auto"/>
        <w:jc w:val="both"/>
        <w:rPr>
          <w:rFonts w:asciiTheme="minorHAnsi" w:hAnsiTheme="minorHAnsi" w:cstheme="minorHAnsi"/>
        </w:rPr>
      </w:pPr>
      <w:r w:rsidRPr="005718D4">
        <w:rPr>
          <w:rFonts w:asciiTheme="minorHAnsi" w:hAnsiTheme="minorHAnsi" w:cstheme="minorHAnsi"/>
        </w:rPr>
        <w:t>Sous-composante II (a) : Réintégration communautaire des personnes associées aux groupes désarmés</w:t>
      </w:r>
    </w:p>
    <w:p w14:paraId="7B9C5896" w14:textId="33FEAB7B" w:rsidR="00581522" w:rsidRPr="005718D4" w:rsidRDefault="00581522" w:rsidP="00581522">
      <w:pPr>
        <w:pStyle w:val="Paragraphedeliste"/>
        <w:numPr>
          <w:ilvl w:val="1"/>
          <w:numId w:val="16"/>
        </w:numPr>
        <w:autoSpaceDE w:val="0"/>
        <w:autoSpaceDN w:val="0"/>
        <w:adjustRightInd w:val="0"/>
        <w:spacing w:after="160" w:line="216" w:lineRule="auto"/>
        <w:jc w:val="both"/>
        <w:rPr>
          <w:rFonts w:asciiTheme="minorHAnsi" w:hAnsiTheme="minorHAnsi" w:cstheme="minorHAnsi"/>
        </w:rPr>
      </w:pPr>
      <w:r w:rsidRPr="005718D4">
        <w:rPr>
          <w:rFonts w:asciiTheme="minorHAnsi" w:hAnsiTheme="minorHAnsi" w:cstheme="minorHAnsi"/>
        </w:rPr>
        <w:t>Sous-composante II (b) : Réintégration des communautés vulnérables.</w:t>
      </w:r>
    </w:p>
    <w:p w14:paraId="4C05632D" w14:textId="77777777" w:rsidR="00502854" w:rsidRPr="005718D4" w:rsidRDefault="00502854" w:rsidP="00502854">
      <w:pPr>
        <w:pStyle w:val="Paragraphedeliste"/>
        <w:autoSpaceDE w:val="0"/>
        <w:autoSpaceDN w:val="0"/>
        <w:adjustRightInd w:val="0"/>
        <w:spacing w:after="160" w:line="216" w:lineRule="auto"/>
        <w:ind w:left="1800"/>
        <w:jc w:val="both"/>
        <w:rPr>
          <w:rFonts w:asciiTheme="minorHAnsi" w:hAnsiTheme="minorHAnsi" w:cstheme="minorHAnsi"/>
        </w:rPr>
      </w:pPr>
    </w:p>
    <w:p w14:paraId="37FF7FE2" w14:textId="6B94E921" w:rsidR="00581522" w:rsidRPr="005718D4" w:rsidRDefault="00581522" w:rsidP="004B25F7">
      <w:pPr>
        <w:pStyle w:val="Paragraphedeliste"/>
        <w:numPr>
          <w:ilvl w:val="0"/>
          <w:numId w:val="19"/>
        </w:numPr>
        <w:autoSpaceDE w:val="0"/>
        <w:autoSpaceDN w:val="0"/>
        <w:adjustRightInd w:val="0"/>
        <w:spacing w:after="160" w:line="216" w:lineRule="auto"/>
        <w:jc w:val="both"/>
        <w:rPr>
          <w:rFonts w:asciiTheme="minorHAnsi" w:hAnsiTheme="minorHAnsi" w:cstheme="minorHAnsi"/>
        </w:rPr>
      </w:pPr>
      <w:r w:rsidRPr="005718D4">
        <w:rPr>
          <w:rFonts w:asciiTheme="minorHAnsi" w:hAnsiTheme="minorHAnsi" w:cstheme="minorHAnsi"/>
          <w:b/>
        </w:rPr>
        <w:t xml:space="preserve">Composante </w:t>
      </w:r>
      <w:r w:rsidR="004B25F7" w:rsidRPr="005718D4">
        <w:rPr>
          <w:rFonts w:asciiTheme="minorHAnsi" w:hAnsiTheme="minorHAnsi" w:cstheme="minorHAnsi"/>
          <w:b/>
        </w:rPr>
        <w:t>3</w:t>
      </w:r>
      <w:r w:rsidRPr="005718D4">
        <w:rPr>
          <w:rFonts w:asciiTheme="minorHAnsi" w:hAnsiTheme="minorHAnsi" w:cstheme="minorHAnsi"/>
          <w:b/>
        </w:rPr>
        <w:t xml:space="preserve"> : Renforcement des institutions axé sur l'augmentation des revenus (20 millions de dollars)</w:t>
      </w:r>
    </w:p>
    <w:p w14:paraId="5FD9D1A6" w14:textId="77777777" w:rsidR="00581522" w:rsidRPr="005718D4" w:rsidRDefault="00581522" w:rsidP="00581522">
      <w:pPr>
        <w:pStyle w:val="Paragraphedeliste"/>
        <w:autoSpaceDE w:val="0"/>
        <w:autoSpaceDN w:val="0"/>
        <w:adjustRightInd w:val="0"/>
        <w:spacing w:line="216" w:lineRule="auto"/>
        <w:jc w:val="both"/>
        <w:rPr>
          <w:rFonts w:asciiTheme="minorHAnsi" w:hAnsiTheme="minorHAnsi" w:cstheme="minorHAnsi"/>
        </w:rPr>
      </w:pPr>
    </w:p>
    <w:p w14:paraId="424CB142" w14:textId="4CDC48F7" w:rsidR="00581522" w:rsidRPr="005718D4" w:rsidRDefault="00581522" w:rsidP="004B25F7">
      <w:pPr>
        <w:pStyle w:val="Paragraphedeliste"/>
        <w:numPr>
          <w:ilvl w:val="0"/>
          <w:numId w:val="19"/>
        </w:numPr>
        <w:autoSpaceDE w:val="0"/>
        <w:autoSpaceDN w:val="0"/>
        <w:adjustRightInd w:val="0"/>
        <w:spacing w:after="160" w:line="216" w:lineRule="auto"/>
        <w:jc w:val="both"/>
        <w:rPr>
          <w:rFonts w:asciiTheme="minorHAnsi" w:hAnsiTheme="minorHAnsi" w:cstheme="minorHAnsi"/>
          <w:b/>
        </w:rPr>
      </w:pPr>
      <w:r w:rsidRPr="005718D4">
        <w:rPr>
          <w:rFonts w:asciiTheme="minorHAnsi" w:hAnsiTheme="minorHAnsi" w:cstheme="minorHAnsi"/>
          <w:b/>
        </w:rPr>
        <w:t xml:space="preserve">Composante </w:t>
      </w:r>
      <w:r w:rsidR="004B25F7" w:rsidRPr="005718D4">
        <w:rPr>
          <w:rFonts w:asciiTheme="minorHAnsi" w:hAnsiTheme="minorHAnsi" w:cstheme="minorHAnsi"/>
          <w:b/>
        </w:rPr>
        <w:t>4</w:t>
      </w:r>
      <w:r w:rsidRPr="005718D4">
        <w:rPr>
          <w:rFonts w:asciiTheme="minorHAnsi" w:hAnsiTheme="minorHAnsi" w:cstheme="minorHAnsi"/>
          <w:b/>
        </w:rPr>
        <w:t xml:space="preserve"> : Gestion de projet et recherche (20 millions de dollars)</w:t>
      </w:r>
    </w:p>
    <w:p w14:paraId="133916A8" w14:textId="77777777" w:rsidR="00581522" w:rsidRPr="005718D4" w:rsidRDefault="00581522" w:rsidP="00581522">
      <w:pPr>
        <w:pStyle w:val="Paragraphedeliste"/>
        <w:rPr>
          <w:rFonts w:asciiTheme="minorHAnsi" w:hAnsiTheme="minorHAnsi" w:cstheme="minorHAnsi"/>
          <w:b/>
        </w:rPr>
      </w:pPr>
    </w:p>
    <w:p w14:paraId="1026F12B" w14:textId="77777777" w:rsidR="00581522" w:rsidRPr="005718D4" w:rsidRDefault="00581522" w:rsidP="004B25F7">
      <w:pPr>
        <w:pStyle w:val="Paragraphedeliste"/>
        <w:numPr>
          <w:ilvl w:val="1"/>
          <w:numId w:val="19"/>
        </w:numPr>
        <w:autoSpaceDE w:val="0"/>
        <w:autoSpaceDN w:val="0"/>
        <w:adjustRightInd w:val="0"/>
        <w:spacing w:after="160" w:line="216" w:lineRule="auto"/>
        <w:jc w:val="both"/>
        <w:rPr>
          <w:rFonts w:asciiTheme="minorHAnsi" w:hAnsiTheme="minorHAnsi" w:cstheme="minorHAnsi"/>
          <w:b/>
        </w:rPr>
      </w:pPr>
      <w:r w:rsidRPr="005718D4">
        <w:rPr>
          <w:rFonts w:asciiTheme="minorHAnsi" w:hAnsiTheme="minorHAnsi" w:cstheme="minorHAnsi"/>
          <w:b/>
        </w:rPr>
        <w:t>Sous-composante IV.A : Gestion du programme</w:t>
      </w:r>
    </w:p>
    <w:p w14:paraId="40FEB2B2" w14:textId="77777777" w:rsidR="00581522" w:rsidRPr="005718D4" w:rsidRDefault="00581522" w:rsidP="004B25F7">
      <w:pPr>
        <w:pStyle w:val="Paragraphedeliste"/>
        <w:numPr>
          <w:ilvl w:val="1"/>
          <w:numId w:val="19"/>
        </w:numPr>
        <w:autoSpaceDE w:val="0"/>
        <w:autoSpaceDN w:val="0"/>
        <w:adjustRightInd w:val="0"/>
        <w:spacing w:after="160" w:line="216" w:lineRule="auto"/>
        <w:jc w:val="both"/>
        <w:rPr>
          <w:rFonts w:asciiTheme="minorHAnsi" w:hAnsiTheme="minorHAnsi" w:cstheme="minorHAnsi"/>
          <w:b/>
        </w:rPr>
      </w:pPr>
      <w:r w:rsidRPr="005718D4">
        <w:rPr>
          <w:rFonts w:asciiTheme="minorHAnsi" w:hAnsiTheme="minorHAnsi" w:cstheme="minorHAnsi"/>
          <w:b/>
        </w:rPr>
        <w:t>Sous-composante IV.B : Recherche et apprentissage</w:t>
      </w:r>
    </w:p>
    <w:p w14:paraId="061A39B9" w14:textId="77777777" w:rsidR="00581522" w:rsidRPr="005718D4" w:rsidRDefault="00581522" w:rsidP="00581522">
      <w:pPr>
        <w:pStyle w:val="Paragraphedeliste"/>
        <w:autoSpaceDE w:val="0"/>
        <w:autoSpaceDN w:val="0"/>
        <w:adjustRightInd w:val="0"/>
        <w:spacing w:line="216" w:lineRule="auto"/>
        <w:jc w:val="both"/>
        <w:rPr>
          <w:rFonts w:asciiTheme="minorHAnsi" w:hAnsiTheme="minorHAnsi" w:cstheme="minorHAnsi"/>
          <w:b/>
        </w:rPr>
      </w:pPr>
    </w:p>
    <w:p w14:paraId="372526A1" w14:textId="062C534E" w:rsidR="00581522" w:rsidRPr="005718D4" w:rsidRDefault="00581522" w:rsidP="004B25F7">
      <w:pPr>
        <w:pStyle w:val="Paragraphedeliste"/>
        <w:numPr>
          <w:ilvl w:val="0"/>
          <w:numId w:val="19"/>
        </w:numPr>
        <w:autoSpaceDE w:val="0"/>
        <w:autoSpaceDN w:val="0"/>
        <w:adjustRightInd w:val="0"/>
        <w:spacing w:after="160" w:line="216" w:lineRule="auto"/>
        <w:jc w:val="both"/>
        <w:rPr>
          <w:rFonts w:asciiTheme="minorHAnsi" w:hAnsiTheme="minorHAnsi" w:cstheme="minorHAnsi"/>
          <w:b/>
        </w:rPr>
      </w:pPr>
      <w:r w:rsidRPr="005718D4">
        <w:rPr>
          <w:rFonts w:asciiTheme="minorHAnsi" w:hAnsiTheme="minorHAnsi" w:cstheme="minorHAnsi"/>
          <w:b/>
        </w:rPr>
        <w:t>Component 5: Contingence d’Intervention d’urgence (CERC) (US$0 million de dollars)</w:t>
      </w:r>
    </w:p>
    <w:p w14:paraId="6D847874" w14:textId="77777777" w:rsidR="004B25F7" w:rsidRPr="005718D4" w:rsidRDefault="004B25F7" w:rsidP="004B25F7">
      <w:pPr>
        <w:pStyle w:val="Paragraphedeliste"/>
        <w:autoSpaceDE w:val="0"/>
        <w:autoSpaceDN w:val="0"/>
        <w:adjustRightInd w:val="0"/>
        <w:spacing w:after="160" w:line="216" w:lineRule="auto"/>
        <w:ind w:left="1080"/>
        <w:jc w:val="both"/>
        <w:rPr>
          <w:rFonts w:asciiTheme="minorHAnsi" w:hAnsiTheme="minorHAnsi" w:cstheme="minorHAnsi"/>
          <w:b/>
        </w:rPr>
      </w:pPr>
    </w:p>
    <w:p w14:paraId="2747BFB6" w14:textId="77777777" w:rsidR="00581522" w:rsidRPr="005718D4" w:rsidRDefault="00581522" w:rsidP="00502854">
      <w:pPr>
        <w:pStyle w:val="Paragraphedeliste"/>
        <w:numPr>
          <w:ilvl w:val="0"/>
          <w:numId w:val="17"/>
        </w:numPr>
        <w:spacing w:after="160" w:line="259" w:lineRule="auto"/>
        <w:jc w:val="both"/>
        <w:rPr>
          <w:rFonts w:asciiTheme="minorHAnsi" w:hAnsiTheme="minorHAnsi" w:cstheme="minorHAnsi"/>
          <w:b/>
        </w:rPr>
      </w:pPr>
      <w:r w:rsidRPr="005718D4">
        <w:rPr>
          <w:rFonts w:asciiTheme="minorHAnsi" w:hAnsiTheme="minorHAnsi" w:cstheme="minorHAnsi"/>
          <w:b/>
        </w:rPr>
        <w:t>Fonctions et Responsabilités</w:t>
      </w:r>
    </w:p>
    <w:p w14:paraId="7EB1498D" w14:textId="77777777" w:rsidR="001B53EC" w:rsidRPr="005718D4" w:rsidRDefault="001B53EC" w:rsidP="007F3406">
      <w:pPr>
        <w:widowControl w:val="0"/>
        <w:jc w:val="both"/>
        <w:rPr>
          <w:rFonts w:asciiTheme="minorHAnsi" w:hAnsiTheme="minorHAnsi" w:cstheme="minorHAnsi"/>
          <w:sz w:val="22"/>
          <w:szCs w:val="22"/>
          <w:lang w:val="fr-FR"/>
        </w:rPr>
      </w:pPr>
    </w:p>
    <w:p w14:paraId="77C218BA" w14:textId="195C22D7" w:rsidR="007F3406" w:rsidRPr="005718D4" w:rsidRDefault="007F3406" w:rsidP="007F3406">
      <w:pPr>
        <w:widowControl w:val="0"/>
        <w:jc w:val="both"/>
        <w:rPr>
          <w:rFonts w:asciiTheme="minorHAnsi" w:hAnsiTheme="minorHAnsi" w:cstheme="minorHAnsi"/>
          <w:sz w:val="22"/>
          <w:szCs w:val="22"/>
          <w:lang w:val="fr-FR"/>
        </w:rPr>
      </w:pPr>
      <w:r w:rsidRPr="005718D4">
        <w:rPr>
          <w:rFonts w:asciiTheme="minorHAnsi" w:hAnsiTheme="minorHAnsi" w:cstheme="minorHAnsi"/>
          <w:sz w:val="22"/>
          <w:szCs w:val="22"/>
          <w:lang w:val="fr-FR"/>
        </w:rPr>
        <w:t>La RDC se propose d’utiliser une partie de ces fonds pour le re</w:t>
      </w:r>
      <w:r w:rsidR="00275F09" w:rsidRPr="005718D4">
        <w:rPr>
          <w:rFonts w:asciiTheme="minorHAnsi" w:hAnsiTheme="minorHAnsi" w:cstheme="minorHAnsi"/>
          <w:sz w:val="22"/>
          <w:szCs w:val="22"/>
          <w:lang w:val="fr-FR"/>
        </w:rPr>
        <w:t>crutement un Chauffeur de service</w:t>
      </w:r>
      <w:r w:rsidR="004B1D61" w:rsidRPr="005718D4">
        <w:rPr>
          <w:rFonts w:asciiTheme="minorHAnsi" w:hAnsiTheme="minorHAnsi" w:cstheme="minorHAnsi"/>
          <w:sz w:val="22"/>
          <w:szCs w:val="22"/>
          <w:lang w:val="fr-FR"/>
        </w:rPr>
        <w:t>. Le Chauffeur de service</w:t>
      </w:r>
      <w:r w:rsidRPr="005718D4">
        <w:rPr>
          <w:rFonts w:asciiTheme="minorHAnsi" w:hAnsiTheme="minorHAnsi" w:cstheme="minorHAnsi"/>
          <w:sz w:val="22"/>
          <w:szCs w:val="22"/>
          <w:lang w:val="fr-FR"/>
        </w:rPr>
        <w:t xml:space="preserve"> est </w:t>
      </w:r>
      <w:r w:rsidR="008D3D89" w:rsidRPr="005718D4">
        <w:rPr>
          <w:rFonts w:asciiTheme="minorHAnsi" w:hAnsiTheme="minorHAnsi" w:cstheme="minorHAnsi"/>
          <w:sz w:val="22"/>
          <w:szCs w:val="22"/>
          <w:lang w:val="fr-FR"/>
        </w:rPr>
        <w:t>placé sous l’autorité directe de l’Assistant</w:t>
      </w:r>
      <w:r w:rsidRPr="005718D4">
        <w:rPr>
          <w:rFonts w:asciiTheme="minorHAnsi" w:hAnsiTheme="minorHAnsi" w:cstheme="minorHAnsi"/>
          <w:sz w:val="22"/>
          <w:szCs w:val="22"/>
          <w:lang w:val="fr-FR"/>
        </w:rPr>
        <w:t xml:space="preserve"> Administratif</w:t>
      </w:r>
      <w:r w:rsidR="008D3D89" w:rsidRPr="005718D4">
        <w:rPr>
          <w:rFonts w:asciiTheme="minorHAnsi" w:hAnsiTheme="minorHAnsi" w:cstheme="minorHAnsi"/>
          <w:sz w:val="22"/>
          <w:szCs w:val="22"/>
          <w:lang w:val="fr-FR"/>
        </w:rPr>
        <w:t xml:space="preserve">, Comptable et </w:t>
      </w:r>
      <w:r w:rsidR="00275F09" w:rsidRPr="005718D4">
        <w:rPr>
          <w:rFonts w:asciiTheme="minorHAnsi" w:hAnsiTheme="minorHAnsi" w:cstheme="minorHAnsi"/>
          <w:sz w:val="22"/>
          <w:szCs w:val="22"/>
          <w:lang w:val="fr-FR"/>
        </w:rPr>
        <w:t>Trésorier à</w:t>
      </w:r>
      <w:r w:rsidRPr="005718D4">
        <w:rPr>
          <w:rFonts w:asciiTheme="minorHAnsi" w:hAnsiTheme="minorHAnsi" w:cstheme="minorHAnsi"/>
          <w:sz w:val="22"/>
          <w:szCs w:val="22"/>
          <w:lang w:val="fr-FR"/>
        </w:rPr>
        <w:t xml:space="preserve"> qui il rend compte de ses activités. </w:t>
      </w:r>
    </w:p>
    <w:p w14:paraId="175239A9" w14:textId="77777777" w:rsidR="00275F09" w:rsidRPr="005718D4" w:rsidRDefault="00275F09" w:rsidP="007F3406">
      <w:pPr>
        <w:widowControl w:val="0"/>
        <w:jc w:val="both"/>
        <w:rPr>
          <w:rFonts w:asciiTheme="minorHAnsi" w:hAnsiTheme="minorHAnsi" w:cstheme="minorHAnsi"/>
          <w:sz w:val="22"/>
          <w:szCs w:val="22"/>
          <w:lang w:val="fr-FR"/>
        </w:rPr>
      </w:pPr>
    </w:p>
    <w:p w14:paraId="323D7507" w14:textId="19EB6D05" w:rsidR="007F3406" w:rsidRPr="005718D4" w:rsidRDefault="007F3406" w:rsidP="007F3406">
      <w:pPr>
        <w:widowControl w:val="0"/>
        <w:jc w:val="both"/>
        <w:rPr>
          <w:rFonts w:asciiTheme="minorHAnsi" w:hAnsiTheme="minorHAnsi" w:cstheme="minorHAnsi"/>
          <w:sz w:val="22"/>
          <w:szCs w:val="22"/>
          <w:lang w:val="fr-FR"/>
        </w:rPr>
      </w:pPr>
      <w:r w:rsidRPr="005718D4">
        <w:rPr>
          <w:rFonts w:asciiTheme="minorHAnsi" w:hAnsiTheme="minorHAnsi" w:cstheme="minorHAnsi"/>
          <w:sz w:val="22"/>
          <w:szCs w:val="22"/>
          <w:lang w:val="fr-FR"/>
        </w:rPr>
        <w:t xml:space="preserve">Il est en charge de la conduite du véhicule, de son entretien et de sa maintenance. </w:t>
      </w:r>
    </w:p>
    <w:p w14:paraId="1612C51F" w14:textId="77777777" w:rsidR="00330258" w:rsidRPr="005718D4" w:rsidRDefault="00330258" w:rsidP="004023D6">
      <w:pPr>
        <w:rPr>
          <w:rFonts w:asciiTheme="minorHAnsi" w:hAnsiTheme="minorHAnsi" w:cstheme="minorHAnsi"/>
          <w:sz w:val="22"/>
          <w:szCs w:val="22"/>
          <w:lang w:val="fr-FR"/>
        </w:rPr>
      </w:pPr>
    </w:p>
    <w:p w14:paraId="2F3A183C" w14:textId="30C9DC81" w:rsidR="004023D6" w:rsidRPr="005718D4" w:rsidRDefault="00B71946" w:rsidP="00B71946">
      <w:pPr>
        <w:pStyle w:val="Paragraphedeliste"/>
        <w:numPr>
          <w:ilvl w:val="0"/>
          <w:numId w:val="9"/>
        </w:numPr>
        <w:spacing w:after="0"/>
        <w:jc w:val="both"/>
        <w:rPr>
          <w:rFonts w:asciiTheme="minorHAnsi" w:hAnsiTheme="minorHAnsi" w:cstheme="minorHAnsi"/>
          <w:b/>
        </w:rPr>
      </w:pPr>
      <w:r w:rsidRPr="005718D4">
        <w:rPr>
          <w:rFonts w:asciiTheme="minorHAnsi" w:hAnsiTheme="minorHAnsi" w:cstheme="minorHAnsi"/>
          <w:b/>
        </w:rPr>
        <w:t>Missions et tâches du chauffeur.</w:t>
      </w:r>
    </w:p>
    <w:p w14:paraId="2F3A183D" w14:textId="77777777" w:rsidR="004023D6" w:rsidRPr="005718D4" w:rsidRDefault="004023D6">
      <w:pPr>
        <w:rPr>
          <w:rFonts w:asciiTheme="minorHAnsi" w:hAnsiTheme="minorHAnsi" w:cstheme="minorHAnsi"/>
          <w:sz w:val="22"/>
          <w:szCs w:val="22"/>
          <w:lang w:val="fr-FR"/>
        </w:rPr>
      </w:pPr>
    </w:p>
    <w:p w14:paraId="2F3A183E" w14:textId="675A913D" w:rsidR="003B0E95" w:rsidRPr="005718D4" w:rsidRDefault="003B0E95" w:rsidP="003B0E95">
      <w:pPr>
        <w:jc w:val="both"/>
        <w:rPr>
          <w:rFonts w:asciiTheme="minorHAnsi" w:hAnsiTheme="minorHAnsi" w:cstheme="minorHAnsi"/>
          <w:sz w:val="22"/>
          <w:szCs w:val="22"/>
          <w:lang w:val="fr-CD"/>
        </w:rPr>
      </w:pPr>
      <w:r w:rsidRPr="005718D4">
        <w:rPr>
          <w:rFonts w:asciiTheme="minorHAnsi" w:hAnsiTheme="minorHAnsi" w:cstheme="minorHAnsi"/>
          <w:sz w:val="22"/>
          <w:szCs w:val="22"/>
          <w:lang w:val="fr-CD"/>
        </w:rPr>
        <w:t>Sous l</w:t>
      </w:r>
      <w:r w:rsidRPr="005718D4">
        <w:rPr>
          <w:rFonts w:asciiTheme="minorHAnsi" w:hAnsiTheme="minorHAnsi" w:cstheme="minorHAnsi"/>
          <w:sz w:val="22"/>
          <w:szCs w:val="22"/>
          <w:lang w:val="fr-FR"/>
        </w:rPr>
        <w:t>’</w:t>
      </w:r>
      <w:r w:rsidR="008D3D89" w:rsidRPr="005718D4">
        <w:rPr>
          <w:rFonts w:asciiTheme="minorHAnsi" w:hAnsiTheme="minorHAnsi" w:cstheme="minorHAnsi"/>
          <w:sz w:val="22"/>
          <w:szCs w:val="22"/>
          <w:lang w:val="fr-CD"/>
        </w:rPr>
        <w:t>autorité directe de l’Assistant</w:t>
      </w:r>
      <w:r w:rsidRPr="005718D4">
        <w:rPr>
          <w:rFonts w:asciiTheme="minorHAnsi" w:hAnsiTheme="minorHAnsi" w:cstheme="minorHAnsi"/>
          <w:sz w:val="22"/>
          <w:szCs w:val="22"/>
          <w:lang w:val="fr-CD"/>
        </w:rPr>
        <w:t xml:space="preserve"> Administratif</w:t>
      </w:r>
      <w:r w:rsidR="005B3CF9" w:rsidRPr="005718D4">
        <w:rPr>
          <w:rFonts w:asciiTheme="minorHAnsi" w:hAnsiTheme="minorHAnsi" w:cstheme="minorHAnsi"/>
          <w:sz w:val="22"/>
          <w:szCs w:val="22"/>
          <w:lang w:val="fr-CD"/>
        </w:rPr>
        <w:t xml:space="preserve"> et logistique</w:t>
      </w:r>
      <w:r w:rsidR="00C47C2C" w:rsidRPr="005718D4">
        <w:rPr>
          <w:rFonts w:asciiTheme="minorHAnsi" w:hAnsiTheme="minorHAnsi" w:cstheme="minorHAnsi"/>
          <w:sz w:val="22"/>
          <w:szCs w:val="22"/>
          <w:lang w:val="fr-CD"/>
        </w:rPr>
        <w:t>,</w:t>
      </w:r>
      <w:r w:rsidRPr="005718D4">
        <w:rPr>
          <w:rFonts w:asciiTheme="minorHAnsi" w:hAnsiTheme="minorHAnsi" w:cstheme="minorHAnsi"/>
          <w:sz w:val="22"/>
          <w:szCs w:val="22"/>
          <w:lang w:val="fr-CD"/>
        </w:rPr>
        <w:t xml:space="preserve"> le chauffeur </w:t>
      </w:r>
      <w:r w:rsidR="00FD20D1" w:rsidRPr="005718D4">
        <w:rPr>
          <w:rFonts w:asciiTheme="minorHAnsi" w:hAnsiTheme="minorHAnsi" w:cstheme="minorHAnsi"/>
          <w:sz w:val="22"/>
          <w:szCs w:val="22"/>
          <w:lang w:val="fr-CD"/>
        </w:rPr>
        <w:t>de service</w:t>
      </w:r>
      <w:r w:rsidR="00275F09" w:rsidRPr="005718D4">
        <w:rPr>
          <w:rFonts w:asciiTheme="minorHAnsi" w:hAnsiTheme="minorHAnsi" w:cstheme="minorHAnsi"/>
          <w:sz w:val="22"/>
          <w:szCs w:val="22"/>
          <w:lang w:val="fr-CD"/>
        </w:rPr>
        <w:t xml:space="preserve"> </w:t>
      </w:r>
      <w:r w:rsidRPr="005718D4">
        <w:rPr>
          <w:rFonts w:asciiTheme="minorHAnsi" w:hAnsiTheme="minorHAnsi" w:cstheme="minorHAnsi"/>
          <w:sz w:val="22"/>
          <w:szCs w:val="22"/>
          <w:lang w:val="fr-CD"/>
        </w:rPr>
        <w:t>assume les responsabilités suivantes :</w:t>
      </w:r>
    </w:p>
    <w:p w14:paraId="403F66C7" w14:textId="77777777" w:rsidR="00275F09" w:rsidRPr="005718D4" w:rsidRDefault="00275F09" w:rsidP="003B0E95">
      <w:pPr>
        <w:jc w:val="both"/>
        <w:rPr>
          <w:rFonts w:asciiTheme="minorHAnsi" w:hAnsiTheme="minorHAnsi" w:cstheme="minorHAnsi"/>
          <w:sz w:val="22"/>
          <w:szCs w:val="22"/>
          <w:lang w:val="fr-CD"/>
        </w:rPr>
      </w:pPr>
    </w:p>
    <w:p w14:paraId="2F3A183F" w14:textId="5826357B" w:rsidR="003B0E95" w:rsidRPr="005718D4" w:rsidRDefault="00275F09" w:rsidP="005718D4">
      <w:pPr>
        <w:pStyle w:val="Paragraphedeliste"/>
        <w:numPr>
          <w:ilvl w:val="1"/>
          <w:numId w:val="23"/>
        </w:numPr>
        <w:tabs>
          <w:tab w:val="left" w:pos="851"/>
        </w:tabs>
        <w:rPr>
          <w:rFonts w:asciiTheme="minorHAnsi" w:hAnsiTheme="minorHAnsi" w:cstheme="minorHAnsi"/>
          <w:lang w:val="fr-CD"/>
        </w:rPr>
      </w:pPr>
      <w:r w:rsidRPr="005718D4">
        <w:rPr>
          <w:rFonts w:asciiTheme="minorHAnsi" w:hAnsiTheme="minorHAnsi" w:cstheme="minorHAnsi"/>
          <w:lang w:val="fr-CD"/>
        </w:rPr>
        <w:t>Conduire le</w:t>
      </w:r>
      <w:r w:rsidR="003B0E95" w:rsidRPr="005718D4">
        <w:rPr>
          <w:rFonts w:asciiTheme="minorHAnsi" w:hAnsiTheme="minorHAnsi" w:cstheme="minorHAnsi"/>
          <w:lang w:val="fr-CD"/>
        </w:rPr>
        <w:t xml:space="preserve"> véhicule</w:t>
      </w:r>
      <w:r w:rsidRPr="005718D4">
        <w:rPr>
          <w:rFonts w:asciiTheme="minorHAnsi" w:hAnsiTheme="minorHAnsi" w:cstheme="minorHAnsi"/>
          <w:lang w:val="fr-CD"/>
        </w:rPr>
        <w:t xml:space="preserve"> dont il a la charge</w:t>
      </w:r>
      <w:r w:rsidR="003B0E95" w:rsidRPr="005718D4">
        <w:rPr>
          <w:rFonts w:asciiTheme="minorHAnsi" w:hAnsiTheme="minorHAnsi" w:cstheme="minorHAnsi"/>
          <w:lang w:val="fr-CD"/>
        </w:rPr>
        <w:t> ;</w:t>
      </w:r>
    </w:p>
    <w:p w14:paraId="2F3A1840" w14:textId="55883118" w:rsidR="003B0E95" w:rsidRPr="005718D4" w:rsidRDefault="008D3D89" w:rsidP="005718D4">
      <w:pPr>
        <w:pStyle w:val="Paragraphedeliste"/>
        <w:numPr>
          <w:ilvl w:val="1"/>
          <w:numId w:val="23"/>
        </w:numPr>
        <w:tabs>
          <w:tab w:val="left" w:pos="851"/>
        </w:tabs>
        <w:rPr>
          <w:rFonts w:asciiTheme="minorHAnsi" w:hAnsiTheme="minorHAnsi" w:cstheme="minorHAnsi"/>
          <w:lang w:val="fr-CD"/>
        </w:rPr>
      </w:pPr>
      <w:r w:rsidRPr="005718D4">
        <w:rPr>
          <w:rFonts w:asciiTheme="minorHAnsi" w:hAnsiTheme="minorHAnsi" w:cstheme="minorHAnsi"/>
          <w:lang w:val="fr-CD"/>
        </w:rPr>
        <w:t xml:space="preserve">Effectuer </w:t>
      </w:r>
      <w:r w:rsidR="000D64BB" w:rsidRPr="005718D4">
        <w:rPr>
          <w:rFonts w:asciiTheme="minorHAnsi" w:hAnsiTheme="minorHAnsi" w:cstheme="minorHAnsi"/>
          <w:lang w:val="fr-CD"/>
        </w:rPr>
        <w:t>les courses</w:t>
      </w:r>
      <w:r w:rsidR="00275F09" w:rsidRPr="005718D4">
        <w:rPr>
          <w:rFonts w:asciiTheme="minorHAnsi" w:hAnsiTheme="minorHAnsi" w:cstheme="minorHAnsi"/>
          <w:lang w:val="fr-CD"/>
        </w:rPr>
        <w:t xml:space="preserve"> (achats, dépôt et retrait de courrier, facilités de voyage, accueil et accompagnement</w:t>
      </w:r>
      <w:r w:rsidR="003B0E95" w:rsidRPr="005718D4">
        <w:rPr>
          <w:rFonts w:asciiTheme="minorHAnsi" w:hAnsiTheme="minorHAnsi" w:cstheme="minorHAnsi"/>
          <w:lang w:val="fr-CD"/>
        </w:rPr>
        <w:t xml:space="preserve"> </w:t>
      </w:r>
      <w:r w:rsidR="00275F09" w:rsidRPr="005718D4">
        <w:rPr>
          <w:rFonts w:asciiTheme="minorHAnsi" w:hAnsiTheme="minorHAnsi" w:cstheme="minorHAnsi"/>
          <w:lang w:val="fr-CD"/>
        </w:rPr>
        <w:t xml:space="preserve">des visiteurs…) </w:t>
      </w:r>
      <w:r w:rsidR="003B0E95" w:rsidRPr="005718D4">
        <w:rPr>
          <w:rFonts w:asciiTheme="minorHAnsi" w:hAnsiTheme="minorHAnsi" w:cstheme="minorHAnsi"/>
          <w:lang w:val="fr-CD"/>
        </w:rPr>
        <w:t>sur instruction</w:t>
      </w:r>
      <w:r w:rsidR="00275F09" w:rsidRPr="005718D4">
        <w:rPr>
          <w:rFonts w:asciiTheme="minorHAnsi" w:hAnsiTheme="minorHAnsi" w:cstheme="minorHAnsi"/>
          <w:lang w:val="fr-CD"/>
        </w:rPr>
        <w:t xml:space="preserve"> et supervision</w:t>
      </w:r>
      <w:r w:rsidR="003B0E95" w:rsidRPr="005718D4">
        <w:rPr>
          <w:rFonts w:asciiTheme="minorHAnsi" w:hAnsiTheme="minorHAnsi" w:cstheme="minorHAnsi"/>
          <w:lang w:val="fr-CD"/>
        </w:rPr>
        <w:t xml:space="preserve"> d</w:t>
      </w:r>
      <w:r w:rsidR="00275F09" w:rsidRPr="005718D4">
        <w:rPr>
          <w:rFonts w:asciiTheme="minorHAnsi" w:hAnsiTheme="minorHAnsi" w:cstheme="minorHAnsi"/>
          <w:lang w:val="fr-CD"/>
        </w:rPr>
        <w:t>e l’Assistant Administratif</w:t>
      </w:r>
      <w:r w:rsidR="005A484B" w:rsidRPr="005718D4">
        <w:rPr>
          <w:rFonts w:asciiTheme="minorHAnsi" w:hAnsiTheme="minorHAnsi" w:cstheme="minorHAnsi"/>
          <w:lang w:val="fr-CD"/>
        </w:rPr>
        <w:t xml:space="preserve"> et logistiqu</w:t>
      </w:r>
      <w:r w:rsidR="00FD20D1" w:rsidRPr="005718D4">
        <w:rPr>
          <w:rFonts w:asciiTheme="minorHAnsi" w:hAnsiTheme="minorHAnsi" w:cstheme="minorHAnsi"/>
          <w:lang w:val="fr-CD"/>
        </w:rPr>
        <w:t>e</w:t>
      </w:r>
      <w:r w:rsidR="003B0E95" w:rsidRPr="005718D4">
        <w:rPr>
          <w:rFonts w:asciiTheme="minorHAnsi" w:hAnsiTheme="minorHAnsi" w:cstheme="minorHAnsi"/>
          <w:lang w:val="fr-CD"/>
        </w:rPr>
        <w:t xml:space="preserve">; </w:t>
      </w:r>
    </w:p>
    <w:p w14:paraId="2F3A1841" w14:textId="4C8AC546" w:rsidR="003B0E95" w:rsidRPr="005718D4" w:rsidRDefault="003B0E95" w:rsidP="005718D4">
      <w:pPr>
        <w:pStyle w:val="Paragraphedeliste"/>
        <w:numPr>
          <w:ilvl w:val="1"/>
          <w:numId w:val="23"/>
        </w:numPr>
        <w:tabs>
          <w:tab w:val="left" w:pos="851"/>
        </w:tabs>
        <w:rPr>
          <w:rFonts w:asciiTheme="minorHAnsi" w:hAnsiTheme="minorHAnsi" w:cstheme="minorHAnsi"/>
          <w:lang w:val="fr-CD"/>
        </w:rPr>
      </w:pPr>
      <w:r w:rsidRPr="005718D4">
        <w:rPr>
          <w:rFonts w:asciiTheme="minorHAnsi" w:hAnsiTheme="minorHAnsi" w:cstheme="minorHAnsi"/>
          <w:lang w:val="fr-CD"/>
        </w:rPr>
        <w:t>Tenir à jour le carnet de bord du véhicule dont il a la charge ;</w:t>
      </w:r>
    </w:p>
    <w:p w14:paraId="2F3A1842" w14:textId="25EEF552" w:rsidR="003B0E95" w:rsidRPr="005718D4" w:rsidRDefault="003B0E95" w:rsidP="005718D4">
      <w:pPr>
        <w:pStyle w:val="Paragraphedeliste"/>
        <w:numPr>
          <w:ilvl w:val="1"/>
          <w:numId w:val="23"/>
        </w:numPr>
        <w:tabs>
          <w:tab w:val="left" w:pos="851"/>
        </w:tabs>
        <w:rPr>
          <w:rFonts w:asciiTheme="minorHAnsi" w:hAnsiTheme="minorHAnsi" w:cstheme="minorHAnsi"/>
          <w:lang w:val="fr-CD"/>
        </w:rPr>
      </w:pPr>
      <w:r w:rsidRPr="005718D4">
        <w:rPr>
          <w:rFonts w:asciiTheme="minorHAnsi" w:hAnsiTheme="minorHAnsi" w:cstheme="minorHAnsi"/>
          <w:lang w:val="fr-CD"/>
        </w:rPr>
        <w:t>Surveiller l’évolution du kilo</w:t>
      </w:r>
      <w:r w:rsidR="000D64BB" w:rsidRPr="005718D4">
        <w:rPr>
          <w:rFonts w:asciiTheme="minorHAnsi" w:hAnsiTheme="minorHAnsi" w:cstheme="minorHAnsi"/>
          <w:lang w:val="fr-CD"/>
        </w:rPr>
        <w:t xml:space="preserve">métrage parcouru et prévenir </w:t>
      </w:r>
      <w:r w:rsidR="000C4C75" w:rsidRPr="005718D4">
        <w:rPr>
          <w:rFonts w:asciiTheme="minorHAnsi" w:hAnsiTheme="minorHAnsi" w:cstheme="minorHAnsi"/>
          <w:lang w:val="fr-CD"/>
        </w:rPr>
        <w:t>l’A</w:t>
      </w:r>
      <w:r w:rsidR="000D64BB" w:rsidRPr="005718D4">
        <w:rPr>
          <w:rFonts w:asciiTheme="minorHAnsi" w:hAnsiTheme="minorHAnsi" w:cstheme="minorHAnsi"/>
          <w:lang w:val="fr-CD"/>
        </w:rPr>
        <w:t>ssistant Administratif</w:t>
      </w:r>
      <w:r w:rsidR="00BF0972" w:rsidRPr="005718D4">
        <w:rPr>
          <w:rFonts w:asciiTheme="minorHAnsi" w:hAnsiTheme="minorHAnsi" w:cstheme="minorHAnsi"/>
          <w:lang w:val="fr-CD"/>
        </w:rPr>
        <w:t xml:space="preserve"> et logistique</w:t>
      </w:r>
      <w:r w:rsidR="000D64BB" w:rsidRPr="005718D4">
        <w:rPr>
          <w:rFonts w:asciiTheme="minorHAnsi" w:hAnsiTheme="minorHAnsi" w:cstheme="minorHAnsi"/>
          <w:lang w:val="fr-CD"/>
        </w:rPr>
        <w:t xml:space="preserve">, </w:t>
      </w:r>
      <w:r w:rsidRPr="005718D4">
        <w:rPr>
          <w:rFonts w:asciiTheme="minorHAnsi" w:hAnsiTheme="minorHAnsi" w:cstheme="minorHAnsi"/>
          <w:lang w:val="fr-CD"/>
        </w:rPr>
        <w:t>des dates des entretiens périodiques du véhicule dont il a la charge ;</w:t>
      </w:r>
    </w:p>
    <w:p w14:paraId="2F3A1843" w14:textId="41130CE1" w:rsidR="003B0E95" w:rsidRPr="005718D4" w:rsidRDefault="003B0E95" w:rsidP="005718D4">
      <w:pPr>
        <w:pStyle w:val="Paragraphedeliste"/>
        <w:numPr>
          <w:ilvl w:val="1"/>
          <w:numId w:val="23"/>
        </w:numPr>
        <w:tabs>
          <w:tab w:val="left" w:pos="851"/>
        </w:tabs>
        <w:rPr>
          <w:rFonts w:asciiTheme="minorHAnsi" w:hAnsiTheme="minorHAnsi" w:cstheme="minorHAnsi"/>
          <w:lang w:val="fr-CD"/>
        </w:rPr>
      </w:pPr>
      <w:r w:rsidRPr="005718D4">
        <w:rPr>
          <w:rFonts w:asciiTheme="minorHAnsi" w:hAnsiTheme="minorHAnsi" w:cstheme="minorHAnsi"/>
          <w:lang w:val="fr-CD"/>
        </w:rPr>
        <w:t xml:space="preserve">Signaler </w:t>
      </w:r>
      <w:r w:rsidR="000C4C75" w:rsidRPr="005718D4">
        <w:rPr>
          <w:rFonts w:asciiTheme="minorHAnsi" w:hAnsiTheme="minorHAnsi" w:cstheme="minorHAnsi"/>
          <w:lang w:val="fr-CD"/>
        </w:rPr>
        <w:t>à l’A</w:t>
      </w:r>
      <w:r w:rsidR="00330258" w:rsidRPr="005718D4">
        <w:rPr>
          <w:rFonts w:asciiTheme="minorHAnsi" w:hAnsiTheme="minorHAnsi" w:cstheme="minorHAnsi"/>
          <w:lang w:val="fr-CD"/>
        </w:rPr>
        <w:t>s</w:t>
      </w:r>
      <w:r w:rsidR="000D64BB" w:rsidRPr="005718D4">
        <w:rPr>
          <w:rFonts w:asciiTheme="minorHAnsi" w:hAnsiTheme="minorHAnsi" w:cstheme="minorHAnsi"/>
          <w:lang w:val="fr-CD"/>
        </w:rPr>
        <w:t>sistant Administratif</w:t>
      </w:r>
      <w:r w:rsidR="00282A66" w:rsidRPr="005718D4">
        <w:rPr>
          <w:rFonts w:asciiTheme="minorHAnsi" w:hAnsiTheme="minorHAnsi" w:cstheme="minorHAnsi"/>
          <w:lang w:val="fr-CD"/>
        </w:rPr>
        <w:t xml:space="preserve">  et logistique </w:t>
      </w:r>
      <w:r w:rsidRPr="005718D4">
        <w:rPr>
          <w:rFonts w:asciiTheme="minorHAnsi" w:hAnsiTheme="minorHAnsi" w:cstheme="minorHAnsi"/>
          <w:lang w:val="fr-CD"/>
        </w:rPr>
        <w:t>toute panne ou anomalie constatée lors de l’usage du véhicule dont il a la charge (en les consignant dans le carnet de bord dudit véhicule) ;</w:t>
      </w:r>
    </w:p>
    <w:p w14:paraId="2F3A1844" w14:textId="55733211" w:rsidR="003B0E95" w:rsidRPr="005718D4" w:rsidRDefault="003B0E95" w:rsidP="005718D4">
      <w:pPr>
        <w:pStyle w:val="Paragraphedeliste"/>
        <w:numPr>
          <w:ilvl w:val="1"/>
          <w:numId w:val="23"/>
        </w:numPr>
        <w:tabs>
          <w:tab w:val="left" w:pos="851"/>
        </w:tabs>
        <w:rPr>
          <w:rFonts w:asciiTheme="minorHAnsi" w:hAnsiTheme="minorHAnsi" w:cstheme="minorHAnsi"/>
          <w:lang w:val="fr-CD"/>
        </w:rPr>
      </w:pPr>
      <w:r w:rsidRPr="005718D4">
        <w:rPr>
          <w:rFonts w:asciiTheme="minorHAnsi" w:hAnsiTheme="minorHAnsi" w:cstheme="minorHAnsi"/>
          <w:lang w:val="fr-CD"/>
        </w:rPr>
        <w:t>Assurer en permanence la propreté du véhicule, les réparations et les entretiens à sa portée (pneumatique, feus, batterie, fluides, essuie-glace, etc.), ainsi que les approvisionnements en carburant et lubrifiants</w:t>
      </w:r>
      <w:r w:rsidR="000D64BB" w:rsidRPr="005718D4">
        <w:rPr>
          <w:rFonts w:asciiTheme="minorHAnsi" w:hAnsiTheme="minorHAnsi" w:cstheme="minorHAnsi"/>
          <w:lang w:val="fr-CD"/>
        </w:rPr>
        <w:t xml:space="preserve"> chaque fois que c’est nécessaire et avoir au minimum le réservoir à moitié plein</w:t>
      </w:r>
      <w:r w:rsidRPr="005718D4">
        <w:rPr>
          <w:rFonts w:asciiTheme="minorHAnsi" w:hAnsiTheme="minorHAnsi" w:cstheme="minorHAnsi"/>
          <w:lang w:val="fr-CD"/>
        </w:rPr>
        <w:t> ;</w:t>
      </w:r>
    </w:p>
    <w:p w14:paraId="089E7309" w14:textId="526307A2" w:rsidR="005718D4" w:rsidRPr="005718D4" w:rsidRDefault="005718D4" w:rsidP="005718D4">
      <w:pPr>
        <w:pStyle w:val="Paragraphedeliste"/>
        <w:numPr>
          <w:ilvl w:val="1"/>
          <w:numId w:val="23"/>
        </w:numPr>
        <w:tabs>
          <w:tab w:val="left" w:pos="851"/>
        </w:tabs>
        <w:rPr>
          <w:rFonts w:asciiTheme="minorHAnsi" w:hAnsiTheme="minorHAnsi" w:cstheme="minorHAnsi"/>
          <w:lang w:val="fr-CD"/>
        </w:rPr>
      </w:pPr>
      <w:r w:rsidRPr="005718D4">
        <w:rPr>
          <w:rFonts w:asciiTheme="minorHAnsi" w:hAnsiTheme="minorHAnsi" w:cstheme="minorHAnsi"/>
          <w:lang w:val="fr-CD"/>
        </w:rPr>
        <w:t>(Assurer le rôle du point focal de sécurité) ;</w:t>
      </w:r>
    </w:p>
    <w:p w14:paraId="2F3A1845" w14:textId="55530E39" w:rsidR="003B0E95" w:rsidRPr="005718D4" w:rsidRDefault="003B0E95" w:rsidP="005718D4">
      <w:pPr>
        <w:pStyle w:val="Paragraphedeliste"/>
        <w:numPr>
          <w:ilvl w:val="1"/>
          <w:numId w:val="23"/>
        </w:numPr>
        <w:tabs>
          <w:tab w:val="left" w:pos="851"/>
        </w:tabs>
        <w:rPr>
          <w:rFonts w:asciiTheme="minorHAnsi" w:hAnsiTheme="minorHAnsi" w:cstheme="minorHAnsi"/>
          <w:lang w:val="fr-CD"/>
        </w:rPr>
      </w:pPr>
      <w:r w:rsidRPr="005718D4">
        <w:rPr>
          <w:rFonts w:asciiTheme="minorHAnsi" w:hAnsiTheme="minorHAnsi" w:cstheme="minorHAnsi"/>
          <w:lang w:val="fr-CD"/>
        </w:rPr>
        <w:t>Veiller à toutes les prescriptions de la sécurité routière et de conservation en bon état du véhicule dont il a la charge ;</w:t>
      </w:r>
    </w:p>
    <w:p w14:paraId="2F3A1846" w14:textId="4651008B" w:rsidR="003B0E95" w:rsidRPr="005718D4" w:rsidRDefault="003B0E95" w:rsidP="005718D4">
      <w:pPr>
        <w:pStyle w:val="Paragraphedeliste"/>
        <w:numPr>
          <w:ilvl w:val="1"/>
          <w:numId w:val="23"/>
        </w:numPr>
        <w:tabs>
          <w:tab w:val="left" w:pos="851"/>
        </w:tabs>
        <w:rPr>
          <w:rFonts w:asciiTheme="minorHAnsi" w:hAnsiTheme="minorHAnsi" w:cstheme="minorHAnsi"/>
          <w:lang w:val="fr-CD"/>
        </w:rPr>
      </w:pPr>
      <w:r w:rsidRPr="005718D4">
        <w:rPr>
          <w:rFonts w:asciiTheme="minorHAnsi" w:hAnsiTheme="minorHAnsi" w:cstheme="minorHAnsi"/>
          <w:lang w:val="fr-CD"/>
        </w:rPr>
        <w:t>Exécuter toutes autres tâches à la demande de la hiérarchie.</w:t>
      </w:r>
      <w:r w:rsidRPr="005718D4">
        <w:rPr>
          <w:rFonts w:asciiTheme="minorHAnsi" w:hAnsiTheme="minorHAnsi" w:cstheme="minorHAnsi"/>
          <w:lang w:val="fr-CD"/>
        </w:rPr>
        <w:tab/>
        <w:t xml:space="preserve"> </w:t>
      </w:r>
    </w:p>
    <w:p w14:paraId="2F3A1847" w14:textId="45D697E5" w:rsidR="003B0E95" w:rsidRDefault="00FD1F20" w:rsidP="003648D7">
      <w:pPr>
        <w:tabs>
          <w:tab w:val="left" w:pos="851"/>
        </w:tabs>
        <w:ind w:left="1560" w:hanging="993"/>
        <w:rPr>
          <w:rFonts w:asciiTheme="minorHAnsi" w:hAnsiTheme="minorHAnsi" w:cstheme="minorHAnsi"/>
          <w:sz w:val="22"/>
          <w:szCs w:val="22"/>
          <w:lang w:val="fr-CD"/>
        </w:rPr>
      </w:pPr>
      <w:r>
        <w:rPr>
          <w:rFonts w:asciiTheme="minorHAnsi" w:hAnsiTheme="minorHAnsi" w:cstheme="minorHAnsi"/>
          <w:sz w:val="22"/>
          <w:szCs w:val="22"/>
          <w:lang w:val="fr-CD"/>
        </w:rPr>
        <w:t>Pour le chauffeur point focal de sécurité, il devra en outre avoir les responsabilités suivantes :</w:t>
      </w:r>
    </w:p>
    <w:p w14:paraId="4A1DF4C7" w14:textId="77777777" w:rsidR="00FD1F20" w:rsidRDefault="00FD1F20" w:rsidP="003648D7">
      <w:pPr>
        <w:tabs>
          <w:tab w:val="left" w:pos="851"/>
        </w:tabs>
        <w:ind w:left="1560" w:hanging="993"/>
        <w:rPr>
          <w:rFonts w:asciiTheme="minorHAnsi" w:hAnsiTheme="minorHAnsi" w:cstheme="minorHAnsi"/>
          <w:sz w:val="22"/>
          <w:szCs w:val="22"/>
          <w:lang w:val="fr-CD"/>
        </w:rPr>
      </w:pPr>
    </w:p>
    <w:p w14:paraId="001B29B2" w14:textId="27E5EEE5" w:rsidR="00FD1F20" w:rsidRPr="00FD1F20" w:rsidRDefault="00FD1F20" w:rsidP="00FD1F20">
      <w:pPr>
        <w:pStyle w:val="Paragraphedeliste"/>
        <w:numPr>
          <w:ilvl w:val="1"/>
          <w:numId w:val="23"/>
        </w:numPr>
        <w:tabs>
          <w:tab w:val="left" w:pos="851"/>
        </w:tabs>
        <w:rPr>
          <w:rFonts w:asciiTheme="minorHAnsi" w:hAnsiTheme="minorHAnsi" w:cstheme="minorHAnsi"/>
          <w:lang w:val="fr-CD"/>
        </w:rPr>
      </w:pPr>
      <w:r>
        <w:rPr>
          <w:rFonts w:asciiTheme="minorHAnsi" w:hAnsiTheme="minorHAnsi" w:cstheme="minorHAnsi"/>
          <w:lang w:val="fr-CD"/>
        </w:rPr>
        <w:lastRenderedPageBreak/>
        <w:t>C</w:t>
      </w:r>
      <w:r w:rsidRPr="00FD1F20">
        <w:rPr>
          <w:rFonts w:asciiTheme="minorHAnsi" w:hAnsiTheme="minorHAnsi" w:cstheme="minorHAnsi"/>
          <w:lang w:val="fr-CD"/>
        </w:rPr>
        <w:t xml:space="preserve">oordonner et maintenir les systèmes de </w:t>
      </w:r>
      <w:r>
        <w:rPr>
          <w:rFonts w:asciiTheme="minorHAnsi" w:hAnsiTheme="minorHAnsi" w:cstheme="minorHAnsi"/>
          <w:lang w:val="fr-CD"/>
        </w:rPr>
        <w:t>sûreté et sécurité pour tous la Coordination</w:t>
      </w:r>
      <w:r w:rsidRPr="00FD1F20">
        <w:rPr>
          <w:rFonts w:asciiTheme="minorHAnsi" w:hAnsiTheme="minorHAnsi" w:cstheme="minorHAnsi"/>
          <w:lang w:val="fr-CD"/>
        </w:rPr>
        <w:t xml:space="preserve"> ;</w:t>
      </w:r>
    </w:p>
    <w:p w14:paraId="2D1B45F7" w14:textId="5EEE8AE5" w:rsidR="00FD1F20" w:rsidRPr="00FD1F20" w:rsidRDefault="00FD1F20" w:rsidP="00FD1F20">
      <w:pPr>
        <w:pStyle w:val="Paragraphedeliste"/>
        <w:numPr>
          <w:ilvl w:val="1"/>
          <w:numId w:val="23"/>
        </w:numPr>
        <w:tabs>
          <w:tab w:val="left" w:pos="851"/>
        </w:tabs>
        <w:rPr>
          <w:rFonts w:asciiTheme="minorHAnsi" w:hAnsiTheme="minorHAnsi" w:cstheme="minorHAnsi"/>
          <w:lang w:val="fr-CD"/>
        </w:rPr>
      </w:pPr>
      <w:r w:rsidRPr="00FD1F20">
        <w:rPr>
          <w:rFonts w:asciiTheme="minorHAnsi" w:hAnsiTheme="minorHAnsi" w:cstheme="minorHAnsi"/>
          <w:lang w:val="fr-CD"/>
        </w:rPr>
        <w:t>Mettre à jour le plan de contingence de sécurité selon l’évolution de la situation sécuritaire</w:t>
      </w:r>
      <w:r>
        <w:rPr>
          <w:rFonts w:asciiTheme="minorHAnsi" w:hAnsiTheme="minorHAnsi" w:cstheme="minorHAnsi"/>
          <w:lang w:val="fr-CD"/>
        </w:rPr>
        <w:t> ;</w:t>
      </w:r>
    </w:p>
    <w:p w14:paraId="0A57E655" w14:textId="332CAF84" w:rsidR="00FD1F20" w:rsidRPr="00FD1F20" w:rsidRDefault="00FD1F20" w:rsidP="00FD1F20">
      <w:pPr>
        <w:pStyle w:val="Paragraphedeliste"/>
        <w:numPr>
          <w:ilvl w:val="1"/>
          <w:numId w:val="23"/>
        </w:numPr>
        <w:tabs>
          <w:tab w:val="left" w:pos="851"/>
        </w:tabs>
        <w:rPr>
          <w:rFonts w:asciiTheme="minorHAnsi" w:hAnsiTheme="minorHAnsi" w:cstheme="minorHAnsi"/>
          <w:lang w:val="fr-CD"/>
        </w:rPr>
      </w:pPr>
      <w:r w:rsidRPr="00FD1F20">
        <w:rPr>
          <w:rFonts w:asciiTheme="minorHAnsi" w:hAnsiTheme="minorHAnsi" w:cstheme="minorHAnsi"/>
          <w:lang w:val="fr-CD"/>
        </w:rPr>
        <w:t>Faire le suivi de la situation sécuritaire en maintenant des relations permanent</w:t>
      </w:r>
      <w:r>
        <w:rPr>
          <w:rFonts w:asciiTheme="minorHAnsi" w:hAnsiTheme="minorHAnsi" w:cstheme="minorHAnsi"/>
          <w:lang w:val="fr-CD"/>
        </w:rPr>
        <w:t>e</w:t>
      </w:r>
      <w:r w:rsidRPr="00FD1F20">
        <w:rPr>
          <w:rFonts w:asciiTheme="minorHAnsi" w:hAnsiTheme="minorHAnsi" w:cstheme="minorHAnsi"/>
          <w:lang w:val="fr-CD"/>
        </w:rPr>
        <w:t xml:space="preserve">s avec les autres </w:t>
      </w:r>
      <w:r>
        <w:rPr>
          <w:rFonts w:asciiTheme="minorHAnsi" w:hAnsiTheme="minorHAnsi" w:cstheme="minorHAnsi"/>
          <w:lang w:val="fr-CD"/>
        </w:rPr>
        <w:t>véhicules et la coordination ;</w:t>
      </w:r>
    </w:p>
    <w:p w14:paraId="692C0552" w14:textId="2D49C3FB" w:rsidR="00FD1F20" w:rsidRPr="00FD1F20" w:rsidRDefault="00FD1F20" w:rsidP="00FD1F20">
      <w:pPr>
        <w:pStyle w:val="Paragraphedeliste"/>
        <w:numPr>
          <w:ilvl w:val="1"/>
          <w:numId w:val="23"/>
        </w:numPr>
        <w:tabs>
          <w:tab w:val="left" w:pos="851"/>
        </w:tabs>
        <w:rPr>
          <w:rFonts w:asciiTheme="minorHAnsi" w:hAnsiTheme="minorHAnsi" w:cstheme="minorHAnsi"/>
          <w:lang w:val="fr-CD"/>
        </w:rPr>
      </w:pPr>
      <w:r w:rsidRPr="00FD1F20">
        <w:rPr>
          <w:rFonts w:asciiTheme="minorHAnsi" w:hAnsiTheme="minorHAnsi" w:cstheme="minorHAnsi"/>
          <w:lang w:val="fr-CD"/>
        </w:rPr>
        <w:t xml:space="preserve">Participer aux diverses réunions de sécurité organisées </w:t>
      </w:r>
      <w:r>
        <w:rPr>
          <w:rFonts w:asciiTheme="minorHAnsi" w:hAnsiTheme="minorHAnsi" w:cstheme="minorHAnsi"/>
          <w:lang w:val="fr-CD"/>
        </w:rPr>
        <w:t>par le Projet</w:t>
      </w:r>
      <w:r w:rsidRPr="00FD1F20">
        <w:rPr>
          <w:rFonts w:asciiTheme="minorHAnsi" w:hAnsiTheme="minorHAnsi" w:cstheme="minorHAnsi"/>
          <w:lang w:val="fr-CD"/>
        </w:rPr>
        <w:t xml:space="preserve"> ou les agences onusiennes, faire un compte rendu de ces réunions </w:t>
      </w:r>
      <w:r>
        <w:rPr>
          <w:rFonts w:asciiTheme="minorHAnsi" w:hAnsiTheme="minorHAnsi" w:cstheme="minorHAnsi"/>
          <w:lang w:val="fr-CD"/>
        </w:rPr>
        <w:t>à la hiérarchie ;</w:t>
      </w:r>
    </w:p>
    <w:p w14:paraId="58D50EB4" w14:textId="3F5CADCC" w:rsidR="00FD1F20" w:rsidRPr="00FD1F20" w:rsidRDefault="00FD1F20" w:rsidP="00FD1F20">
      <w:pPr>
        <w:pStyle w:val="Paragraphedeliste"/>
        <w:numPr>
          <w:ilvl w:val="1"/>
          <w:numId w:val="23"/>
        </w:numPr>
        <w:tabs>
          <w:tab w:val="left" w:pos="851"/>
        </w:tabs>
        <w:rPr>
          <w:rFonts w:asciiTheme="minorHAnsi" w:hAnsiTheme="minorHAnsi" w:cstheme="minorHAnsi"/>
          <w:lang w:val="fr-CD"/>
        </w:rPr>
      </w:pPr>
      <w:r w:rsidRPr="00FD1F20">
        <w:rPr>
          <w:rFonts w:asciiTheme="minorHAnsi" w:hAnsiTheme="minorHAnsi" w:cstheme="minorHAnsi"/>
          <w:lang w:val="fr-CD"/>
        </w:rPr>
        <w:t>Maintenir un contact quotid</w:t>
      </w:r>
      <w:r>
        <w:rPr>
          <w:rFonts w:asciiTheme="minorHAnsi" w:hAnsiTheme="minorHAnsi" w:cstheme="minorHAnsi"/>
          <w:lang w:val="fr-CD"/>
        </w:rPr>
        <w:t>ien avec les équipes de terrain ;</w:t>
      </w:r>
    </w:p>
    <w:p w14:paraId="00A1E929" w14:textId="09181894" w:rsidR="00FD1F20" w:rsidRPr="00FD1F20" w:rsidRDefault="00FD1F20" w:rsidP="00FD1F20">
      <w:pPr>
        <w:pStyle w:val="Paragraphedeliste"/>
        <w:numPr>
          <w:ilvl w:val="1"/>
          <w:numId w:val="23"/>
        </w:numPr>
        <w:tabs>
          <w:tab w:val="left" w:pos="851"/>
        </w:tabs>
        <w:rPr>
          <w:rFonts w:asciiTheme="minorHAnsi" w:hAnsiTheme="minorHAnsi" w:cstheme="minorHAnsi"/>
          <w:lang w:val="fr-CD"/>
        </w:rPr>
      </w:pPr>
      <w:r w:rsidRPr="00FD1F20">
        <w:rPr>
          <w:rFonts w:asciiTheme="minorHAnsi" w:hAnsiTheme="minorHAnsi" w:cstheme="minorHAnsi"/>
          <w:lang w:val="fr-CD"/>
        </w:rPr>
        <w:t>Mettre à jour le plan de sécurité de l’organisation et apporter les consei</w:t>
      </w:r>
      <w:r>
        <w:rPr>
          <w:rFonts w:asciiTheme="minorHAnsi" w:hAnsiTheme="minorHAnsi" w:cstheme="minorHAnsi"/>
          <w:lang w:val="fr-CD"/>
        </w:rPr>
        <w:t>ls et modifications nécessaires ;</w:t>
      </w:r>
    </w:p>
    <w:p w14:paraId="5E7A6E3C" w14:textId="67401E9D" w:rsidR="00FD1F20" w:rsidRPr="00FD1F20" w:rsidRDefault="00FD1F20" w:rsidP="00FD1F20">
      <w:pPr>
        <w:pStyle w:val="Paragraphedeliste"/>
        <w:numPr>
          <w:ilvl w:val="1"/>
          <w:numId w:val="23"/>
        </w:numPr>
        <w:tabs>
          <w:tab w:val="left" w:pos="851"/>
        </w:tabs>
        <w:rPr>
          <w:rFonts w:asciiTheme="minorHAnsi" w:hAnsiTheme="minorHAnsi" w:cstheme="minorHAnsi"/>
          <w:lang w:val="fr-CD"/>
        </w:rPr>
      </w:pPr>
      <w:r w:rsidRPr="00FD1F20">
        <w:rPr>
          <w:rFonts w:asciiTheme="minorHAnsi" w:hAnsiTheme="minorHAnsi" w:cstheme="minorHAnsi"/>
          <w:lang w:val="fr-CD"/>
        </w:rPr>
        <w:t xml:space="preserve">Evaluer les besoins de protection en fonction des programmes de </w:t>
      </w:r>
      <w:r>
        <w:rPr>
          <w:rFonts w:asciiTheme="minorHAnsi" w:hAnsiTheme="minorHAnsi" w:cstheme="minorHAnsi"/>
          <w:lang w:val="fr-CD"/>
        </w:rPr>
        <w:t>terrain</w:t>
      </w:r>
      <w:r w:rsidRPr="00FD1F20">
        <w:rPr>
          <w:rFonts w:asciiTheme="minorHAnsi" w:hAnsiTheme="minorHAnsi" w:cstheme="minorHAnsi"/>
          <w:lang w:val="fr-CD"/>
        </w:rPr>
        <w:t>.</w:t>
      </w:r>
    </w:p>
    <w:p w14:paraId="19E3D150" w14:textId="04DE1BB8" w:rsidR="00FD1F20" w:rsidRPr="00FD1F20" w:rsidRDefault="00FD1F20" w:rsidP="00FD1F20">
      <w:pPr>
        <w:pStyle w:val="Paragraphedeliste"/>
        <w:numPr>
          <w:ilvl w:val="1"/>
          <w:numId w:val="23"/>
        </w:numPr>
        <w:tabs>
          <w:tab w:val="left" w:pos="851"/>
        </w:tabs>
        <w:rPr>
          <w:rFonts w:asciiTheme="minorHAnsi" w:hAnsiTheme="minorHAnsi" w:cstheme="minorHAnsi"/>
          <w:lang w:val="fr-CD"/>
        </w:rPr>
      </w:pPr>
      <w:r w:rsidRPr="00FD1F20">
        <w:rPr>
          <w:rFonts w:asciiTheme="minorHAnsi" w:hAnsiTheme="minorHAnsi" w:cstheme="minorHAnsi"/>
          <w:lang w:val="fr-CD"/>
        </w:rPr>
        <w:t>Assurer la sécuritaire du staff et de tout le matériel ou autre</w:t>
      </w:r>
      <w:r w:rsidR="00412388">
        <w:rPr>
          <w:rFonts w:asciiTheme="minorHAnsi" w:hAnsiTheme="minorHAnsi" w:cstheme="minorHAnsi"/>
          <w:lang w:val="fr-CD"/>
        </w:rPr>
        <w:t>s biens se trouvant sur le site ;</w:t>
      </w:r>
    </w:p>
    <w:p w14:paraId="5B015895" w14:textId="66D07016" w:rsidR="005718D4" w:rsidRDefault="00FD1F20" w:rsidP="00FD1F20">
      <w:pPr>
        <w:pStyle w:val="Paragraphedeliste"/>
        <w:numPr>
          <w:ilvl w:val="1"/>
          <w:numId w:val="23"/>
        </w:numPr>
        <w:tabs>
          <w:tab w:val="left" w:pos="851"/>
        </w:tabs>
        <w:rPr>
          <w:rFonts w:asciiTheme="minorHAnsi" w:hAnsiTheme="minorHAnsi" w:cstheme="minorHAnsi"/>
          <w:lang w:val="fr-CD"/>
        </w:rPr>
      </w:pPr>
      <w:r w:rsidRPr="00FD1F20">
        <w:rPr>
          <w:rFonts w:asciiTheme="minorHAnsi" w:hAnsiTheme="minorHAnsi" w:cstheme="minorHAnsi"/>
          <w:lang w:val="fr-CD"/>
        </w:rPr>
        <w:t>Organiser des exercices de sécurité (security drills) pour améliorer la capacité des équipes à faire face aux situations d’urgence.</w:t>
      </w:r>
    </w:p>
    <w:p w14:paraId="56656417" w14:textId="77777777" w:rsidR="005718D4" w:rsidRPr="005718D4" w:rsidRDefault="005718D4" w:rsidP="003648D7">
      <w:pPr>
        <w:tabs>
          <w:tab w:val="left" w:pos="851"/>
        </w:tabs>
        <w:ind w:left="1560" w:hanging="993"/>
        <w:rPr>
          <w:rFonts w:asciiTheme="minorHAnsi" w:hAnsiTheme="minorHAnsi" w:cstheme="minorHAnsi"/>
          <w:sz w:val="22"/>
          <w:szCs w:val="22"/>
          <w:lang w:val="fr-CD"/>
        </w:rPr>
      </w:pPr>
    </w:p>
    <w:p w14:paraId="2F3A1848" w14:textId="77777777" w:rsidR="000C4C75" w:rsidRPr="005718D4" w:rsidRDefault="00B71946" w:rsidP="00B71946">
      <w:pPr>
        <w:pStyle w:val="Paragraphedeliste"/>
        <w:numPr>
          <w:ilvl w:val="0"/>
          <w:numId w:val="9"/>
        </w:numPr>
        <w:spacing w:after="0"/>
        <w:ind w:left="993"/>
        <w:jc w:val="both"/>
        <w:rPr>
          <w:rFonts w:asciiTheme="minorHAnsi" w:hAnsiTheme="minorHAnsi" w:cstheme="minorHAnsi"/>
          <w:b/>
        </w:rPr>
      </w:pPr>
      <w:r w:rsidRPr="005718D4">
        <w:rPr>
          <w:rFonts w:asciiTheme="minorHAnsi" w:hAnsiTheme="minorHAnsi" w:cstheme="minorHAnsi"/>
          <w:b/>
        </w:rPr>
        <w:t>Profil du chauffeur.</w:t>
      </w:r>
    </w:p>
    <w:p w14:paraId="2F3A1849" w14:textId="77777777" w:rsidR="003B0E95" w:rsidRPr="005718D4" w:rsidRDefault="003B0E95" w:rsidP="003B0E95">
      <w:pPr>
        <w:ind w:left="794" w:hanging="360"/>
        <w:jc w:val="both"/>
        <w:rPr>
          <w:rFonts w:asciiTheme="minorHAnsi" w:hAnsiTheme="minorHAnsi" w:cstheme="minorHAnsi"/>
          <w:sz w:val="22"/>
          <w:szCs w:val="22"/>
          <w:lang w:val="fr-CD"/>
        </w:rPr>
      </w:pPr>
    </w:p>
    <w:p w14:paraId="2F3A184A" w14:textId="42C0D115" w:rsidR="003B0E95" w:rsidRPr="005718D4" w:rsidRDefault="003B0E95" w:rsidP="002506F5">
      <w:pPr>
        <w:ind w:left="567"/>
        <w:jc w:val="both"/>
        <w:rPr>
          <w:rFonts w:asciiTheme="minorHAnsi" w:hAnsiTheme="minorHAnsi" w:cstheme="minorHAnsi"/>
          <w:sz w:val="22"/>
          <w:szCs w:val="22"/>
          <w:lang w:val="fr-CD"/>
        </w:rPr>
      </w:pPr>
      <w:r w:rsidRPr="005718D4">
        <w:rPr>
          <w:rFonts w:asciiTheme="minorHAnsi" w:hAnsiTheme="minorHAnsi" w:cstheme="minorHAnsi"/>
          <w:sz w:val="22"/>
          <w:szCs w:val="22"/>
          <w:lang w:val="fr-CD"/>
        </w:rPr>
        <w:t xml:space="preserve">Le titulaire du poste de chauffeur </w:t>
      </w:r>
      <w:r w:rsidR="000B4AA2">
        <w:rPr>
          <w:rFonts w:asciiTheme="minorHAnsi" w:hAnsiTheme="minorHAnsi" w:cstheme="minorHAnsi"/>
          <w:sz w:val="22"/>
          <w:szCs w:val="22"/>
          <w:lang w:val="fr-CD"/>
        </w:rPr>
        <w:t xml:space="preserve">de service/ Point focal de sécurité </w:t>
      </w:r>
      <w:r w:rsidRPr="005718D4">
        <w:rPr>
          <w:rFonts w:asciiTheme="minorHAnsi" w:hAnsiTheme="minorHAnsi" w:cstheme="minorHAnsi"/>
          <w:sz w:val="22"/>
          <w:szCs w:val="22"/>
          <w:lang w:val="fr-CD"/>
        </w:rPr>
        <w:t>doit remplir les conditions suivantes :</w:t>
      </w:r>
    </w:p>
    <w:p w14:paraId="1048E16B" w14:textId="09425F92" w:rsidR="000F740C" w:rsidRPr="005718D4" w:rsidRDefault="000F740C" w:rsidP="00CD2281">
      <w:pPr>
        <w:tabs>
          <w:tab w:val="left" w:pos="851"/>
        </w:tabs>
        <w:rPr>
          <w:rFonts w:asciiTheme="minorHAnsi" w:hAnsiTheme="minorHAnsi" w:cstheme="minorHAnsi"/>
          <w:sz w:val="22"/>
          <w:szCs w:val="22"/>
          <w:lang w:val="fr-CD"/>
        </w:rPr>
      </w:pPr>
    </w:p>
    <w:p w14:paraId="36978EB1" w14:textId="26A911E0" w:rsidR="000F740C" w:rsidRPr="005718D4" w:rsidRDefault="000F740C" w:rsidP="003648D7">
      <w:pPr>
        <w:pStyle w:val="Paragraphedeliste"/>
        <w:numPr>
          <w:ilvl w:val="0"/>
          <w:numId w:val="18"/>
        </w:numPr>
        <w:tabs>
          <w:tab w:val="left" w:pos="851"/>
        </w:tabs>
        <w:rPr>
          <w:rFonts w:asciiTheme="minorHAnsi" w:hAnsiTheme="minorHAnsi" w:cstheme="minorHAnsi"/>
          <w:lang w:val="fr-CD"/>
        </w:rPr>
      </w:pPr>
      <w:r w:rsidRPr="005718D4">
        <w:rPr>
          <w:rFonts w:asciiTheme="minorHAnsi" w:hAnsiTheme="minorHAnsi" w:cstheme="minorHAnsi"/>
          <w:lang w:val="fr-CD"/>
        </w:rPr>
        <w:t xml:space="preserve">Etre de </w:t>
      </w:r>
      <w:r w:rsidR="002922D1" w:rsidRPr="005718D4">
        <w:rPr>
          <w:rFonts w:asciiTheme="minorHAnsi" w:hAnsiTheme="minorHAnsi" w:cstheme="minorHAnsi"/>
          <w:lang w:val="fr-CD"/>
        </w:rPr>
        <w:t>nationalité</w:t>
      </w:r>
      <w:r w:rsidRPr="005718D4">
        <w:rPr>
          <w:rFonts w:asciiTheme="minorHAnsi" w:hAnsiTheme="minorHAnsi" w:cstheme="minorHAnsi"/>
          <w:lang w:val="fr-CD"/>
        </w:rPr>
        <w:t xml:space="preserve"> congolaise (RDC)</w:t>
      </w:r>
    </w:p>
    <w:p w14:paraId="2F3A184C" w14:textId="453C550C" w:rsidR="003B0E95" w:rsidRPr="005718D4" w:rsidRDefault="003B0E95" w:rsidP="003648D7">
      <w:pPr>
        <w:pStyle w:val="Paragraphedeliste"/>
        <w:numPr>
          <w:ilvl w:val="0"/>
          <w:numId w:val="18"/>
        </w:numPr>
        <w:tabs>
          <w:tab w:val="left" w:pos="851"/>
        </w:tabs>
        <w:rPr>
          <w:rFonts w:asciiTheme="minorHAnsi" w:hAnsiTheme="minorHAnsi" w:cstheme="minorHAnsi"/>
          <w:lang w:val="fr-CD"/>
        </w:rPr>
      </w:pPr>
      <w:r w:rsidRPr="005718D4">
        <w:rPr>
          <w:rFonts w:asciiTheme="minorHAnsi" w:hAnsiTheme="minorHAnsi" w:cstheme="minorHAnsi"/>
          <w:lang w:val="fr-CD"/>
        </w:rPr>
        <w:t xml:space="preserve">Etre détenteur d’un permis de conduire en cours de validité pour les catégories B et C au </w:t>
      </w:r>
      <w:r w:rsidR="003648D7" w:rsidRPr="005718D4">
        <w:rPr>
          <w:rFonts w:asciiTheme="minorHAnsi" w:hAnsiTheme="minorHAnsi" w:cstheme="minorHAnsi"/>
          <w:lang w:val="fr-CD"/>
        </w:rPr>
        <w:t xml:space="preserve">moins </w:t>
      </w:r>
    </w:p>
    <w:p w14:paraId="2F3A184D" w14:textId="541D7EB0" w:rsidR="003B0E95" w:rsidRPr="005718D4" w:rsidRDefault="000C4C75" w:rsidP="003648D7">
      <w:pPr>
        <w:pStyle w:val="Paragraphedeliste"/>
        <w:numPr>
          <w:ilvl w:val="0"/>
          <w:numId w:val="18"/>
        </w:numPr>
        <w:tabs>
          <w:tab w:val="left" w:pos="851"/>
        </w:tabs>
        <w:rPr>
          <w:rFonts w:asciiTheme="minorHAnsi" w:hAnsiTheme="minorHAnsi" w:cstheme="minorHAnsi"/>
          <w:lang w:val="fr-CD"/>
        </w:rPr>
      </w:pPr>
      <w:r w:rsidRPr="005718D4">
        <w:rPr>
          <w:rFonts w:asciiTheme="minorHAnsi" w:hAnsiTheme="minorHAnsi" w:cstheme="minorHAnsi"/>
          <w:lang w:val="fr-CD"/>
        </w:rPr>
        <w:t xml:space="preserve">Etre détenteur </w:t>
      </w:r>
      <w:r w:rsidR="003B0E95" w:rsidRPr="005718D4">
        <w:rPr>
          <w:rFonts w:asciiTheme="minorHAnsi" w:hAnsiTheme="minorHAnsi" w:cstheme="minorHAnsi"/>
          <w:lang w:val="fr-CD"/>
        </w:rPr>
        <w:t xml:space="preserve">d’un brevet en mécanique ou électricité </w:t>
      </w:r>
      <w:r w:rsidRPr="005718D4">
        <w:rPr>
          <w:rFonts w:asciiTheme="minorHAnsi" w:hAnsiTheme="minorHAnsi" w:cstheme="minorHAnsi"/>
          <w:lang w:val="fr-CD"/>
        </w:rPr>
        <w:t xml:space="preserve">automobile </w:t>
      </w:r>
      <w:r w:rsidR="000F740C" w:rsidRPr="005718D4">
        <w:rPr>
          <w:rFonts w:asciiTheme="minorHAnsi" w:hAnsiTheme="minorHAnsi" w:cstheme="minorHAnsi"/>
          <w:lang w:val="fr-CD"/>
        </w:rPr>
        <w:t>serait un atout</w:t>
      </w:r>
      <w:r w:rsidRPr="005718D4">
        <w:rPr>
          <w:rFonts w:asciiTheme="minorHAnsi" w:hAnsiTheme="minorHAnsi" w:cstheme="minorHAnsi"/>
          <w:lang w:val="fr-CD"/>
        </w:rPr>
        <w:t>;</w:t>
      </w:r>
    </w:p>
    <w:p w14:paraId="2F3A184E" w14:textId="0C8457FE" w:rsidR="003B0E95" w:rsidRDefault="003B0E95" w:rsidP="003648D7">
      <w:pPr>
        <w:pStyle w:val="Paragraphedeliste"/>
        <w:numPr>
          <w:ilvl w:val="0"/>
          <w:numId w:val="18"/>
        </w:numPr>
        <w:tabs>
          <w:tab w:val="left" w:pos="851"/>
        </w:tabs>
        <w:rPr>
          <w:rFonts w:asciiTheme="minorHAnsi" w:hAnsiTheme="minorHAnsi" w:cstheme="minorHAnsi"/>
          <w:lang w:val="fr-CD"/>
        </w:rPr>
      </w:pPr>
      <w:r w:rsidRPr="005718D4">
        <w:rPr>
          <w:rFonts w:asciiTheme="minorHAnsi" w:hAnsiTheme="minorHAnsi" w:cstheme="minorHAnsi"/>
          <w:lang w:val="fr-CD"/>
        </w:rPr>
        <w:t xml:space="preserve">Avoir une expérience professionnelle de </w:t>
      </w:r>
      <w:r w:rsidR="00753FC1" w:rsidRPr="005718D4">
        <w:rPr>
          <w:rFonts w:asciiTheme="minorHAnsi" w:hAnsiTheme="minorHAnsi" w:cstheme="minorHAnsi"/>
          <w:lang w:val="fr-CD"/>
        </w:rPr>
        <w:t>10</w:t>
      </w:r>
      <w:r w:rsidRPr="005718D4">
        <w:rPr>
          <w:rFonts w:asciiTheme="minorHAnsi" w:hAnsiTheme="minorHAnsi" w:cstheme="minorHAnsi"/>
          <w:lang w:val="fr-CD"/>
        </w:rPr>
        <w:t xml:space="preserve"> ans</w:t>
      </w:r>
      <w:r w:rsidR="008F758B" w:rsidRPr="005718D4">
        <w:rPr>
          <w:rFonts w:asciiTheme="minorHAnsi" w:hAnsiTheme="minorHAnsi" w:cstheme="minorHAnsi"/>
          <w:lang w:val="fr-CD"/>
        </w:rPr>
        <w:t xml:space="preserve"> au moins</w:t>
      </w:r>
      <w:r w:rsidR="0009776C" w:rsidRPr="005718D4">
        <w:rPr>
          <w:rFonts w:asciiTheme="minorHAnsi" w:hAnsiTheme="minorHAnsi" w:cstheme="minorHAnsi"/>
          <w:lang w:val="fr-CD"/>
        </w:rPr>
        <w:t xml:space="preserve"> dans la conduite automobile (avoir</w:t>
      </w:r>
      <w:r w:rsidR="00753FC1" w:rsidRPr="005718D4">
        <w:rPr>
          <w:rFonts w:asciiTheme="minorHAnsi" w:hAnsiTheme="minorHAnsi" w:cstheme="minorHAnsi"/>
          <w:lang w:val="fr-CD"/>
        </w:rPr>
        <w:t xml:space="preserve"> </w:t>
      </w:r>
      <w:r w:rsidR="0009776C" w:rsidRPr="005718D4">
        <w:rPr>
          <w:rFonts w:asciiTheme="minorHAnsi" w:hAnsiTheme="minorHAnsi" w:cstheme="minorHAnsi"/>
          <w:lang w:val="fr-CD"/>
        </w:rPr>
        <w:t>l’expérience</w:t>
      </w:r>
      <w:r w:rsidR="00753FC1" w:rsidRPr="005718D4">
        <w:rPr>
          <w:rFonts w:asciiTheme="minorHAnsi" w:hAnsiTheme="minorHAnsi" w:cstheme="minorHAnsi"/>
          <w:lang w:val="fr-CD"/>
        </w:rPr>
        <w:t xml:space="preserve"> dans des projets financés par la Banque mondiale</w:t>
      </w:r>
      <w:r w:rsidR="002700A7" w:rsidRPr="005718D4">
        <w:rPr>
          <w:rFonts w:asciiTheme="minorHAnsi" w:hAnsiTheme="minorHAnsi" w:cstheme="minorHAnsi"/>
          <w:lang w:val="fr-CD"/>
        </w:rPr>
        <w:t xml:space="preserve">, </w:t>
      </w:r>
      <w:r w:rsidR="00753FC1" w:rsidRPr="005718D4">
        <w:rPr>
          <w:rFonts w:asciiTheme="minorHAnsi" w:hAnsiTheme="minorHAnsi" w:cstheme="minorHAnsi"/>
          <w:lang w:val="fr-CD"/>
        </w:rPr>
        <w:t xml:space="preserve">d’autres bailleurs </w:t>
      </w:r>
      <w:r w:rsidR="002700A7" w:rsidRPr="005718D4">
        <w:rPr>
          <w:rFonts w:asciiTheme="minorHAnsi" w:hAnsiTheme="minorHAnsi" w:cstheme="minorHAnsi"/>
          <w:lang w:val="fr-CD"/>
        </w:rPr>
        <w:t>ou des ONG</w:t>
      </w:r>
      <w:r w:rsidR="004653D5" w:rsidRPr="005718D4">
        <w:rPr>
          <w:rFonts w:asciiTheme="minorHAnsi" w:hAnsiTheme="minorHAnsi" w:cstheme="minorHAnsi"/>
          <w:lang w:val="fr-CD"/>
        </w:rPr>
        <w:t xml:space="preserve"> internationales </w:t>
      </w:r>
      <w:r w:rsidR="0009776C" w:rsidRPr="005718D4">
        <w:rPr>
          <w:rFonts w:asciiTheme="minorHAnsi" w:hAnsiTheme="minorHAnsi" w:cstheme="minorHAnsi"/>
          <w:lang w:val="fr-CD"/>
        </w:rPr>
        <w:t>serai</w:t>
      </w:r>
      <w:r w:rsidR="00753FC1" w:rsidRPr="005718D4">
        <w:rPr>
          <w:rFonts w:asciiTheme="minorHAnsi" w:hAnsiTheme="minorHAnsi" w:cstheme="minorHAnsi"/>
          <w:lang w:val="fr-CD"/>
        </w:rPr>
        <w:t xml:space="preserve">t </w:t>
      </w:r>
      <w:r w:rsidR="0009776C" w:rsidRPr="005718D4">
        <w:rPr>
          <w:rFonts w:asciiTheme="minorHAnsi" w:hAnsiTheme="minorHAnsi" w:cstheme="minorHAnsi"/>
          <w:lang w:val="fr-CD"/>
        </w:rPr>
        <w:t>un</w:t>
      </w:r>
      <w:r w:rsidR="004653D5" w:rsidRPr="005718D4">
        <w:rPr>
          <w:rFonts w:asciiTheme="minorHAnsi" w:hAnsiTheme="minorHAnsi" w:cstheme="minorHAnsi"/>
          <w:lang w:val="fr-CD"/>
        </w:rPr>
        <w:t xml:space="preserve"> atout</w:t>
      </w:r>
      <w:r w:rsidR="0009776C" w:rsidRPr="005718D4">
        <w:rPr>
          <w:rFonts w:asciiTheme="minorHAnsi" w:hAnsiTheme="minorHAnsi" w:cstheme="minorHAnsi"/>
          <w:lang w:val="fr-CD"/>
        </w:rPr>
        <w:t>)</w:t>
      </w:r>
      <w:r w:rsidR="00753FC1" w:rsidRPr="005718D4">
        <w:rPr>
          <w:rFonts w:asciiTheme="minorHAnsi" w:hAnsiTheme="minorHAnsi" w:cstheme="minorHAnsi"/>
          <w:lang w:val="fr-CD"/>
        </w:rPr>
        <w:t> ;</w:t>
      </w:r>
    </w:p>
    <w:p w14:paraId="4C305CF3" w14:textId="4237DC65" w:rsidR="006765E4" w:rsidRPr="005718D4" w:rsidRDefault="00F44FF9" w:rsidP="00F44FF9">
      <w:pPr>
        <w:pStyle w:val="Paragraphedeliste"/>
        <w:numPr>
          <w:ilvl w:val="0"/>
          <w:numId w:val="18"/>
        </w:numPr>
        <w:tabs>
          <w:tab w:val="left" w:pos="851"/>
        </w:tabs>
        <w:rPr>
          <w:rFonts w:asciiTheme="minorHAnsi" w:hAnsiTheme="minorHAnsi" w:cstheme="minorHAnsi"/>
          <w:lang w:val="fr-CD"/>
        </w:rPr>
      </w:pPr>
      <w:r>
        <w:rPr>
          <w:rFonts w:asciiTheme="minorHAnsi" w:hAnsiTheme="minorHAnsi" w:cstheme="minorHAnsi"/>
          <w:lang w:val="fr-CD"/>
        </w:rPr>
        <w:t>Avoir un m</w:t>
      </w:r>
      <w:r w:rsidRPr="00F44FF9">
        <w:rPr>
          <w:rFonts w:asciiTheme="minorHAnsi" w:hAnsiTheme="minorHAnsi" w:cstheme="minorHAnsi"/>
          <w:lang w:val="fr-CD"/>
        </w:rPr>
        <w:t>inimum de trois (3) ans d’expérience professionnelle en logistique et sécurité d’ONG internationales</w:t>
      </w:r>
      <w:r w:rsidR="006765E4">
        <w:rPr>
          <w:rFonts w:asciiTheme="minorHAnsi" w:hAnsiTheme="minorHAnsi" w:cstheme="minorHAnsi"/>
          <w:lang w:val="fr-CD"/>
        </w:rPr>
        <w:t xml:space="preserve"> </w:t>
      </w:r>
      <w:r>
        <w:rPr>
          <w:rFonts w:asciiTheme="minorHAnsi" w:hAnsiTheme="minorHAnsi" w:cstheme="minorHAnsi"/>
          <w:lang w:val="fr-CD"/>
        </w:rPr>
        <w:t xml:space="preserve">ou </w:t>
      </w:r>
      <w:r w:rsidRPr="005718D4">
        <w:rPr>
          <w:rFonts w:asciiTheme="minorHAnsi" w:hAnsiTheme="minorHAnsi" w:cstheme="minorHAnsi"/>
          <w:lang w:val="fr-CD"/>
        </w:rPr>
        <w:t xml:space="preserve">projets financés par la Banque mondiale, d’autres bailleurs ou des ONG internationales </w:t>
      </w:r>
      <w:r w:rsidR="006765E4">
        <w:rPr>
          <w:rFonts w:asciiTheme="minorHAnsi" w:hAnsiTheme="minorHAnsi" w:cstheme="minorHAnsi"/>
          <w:lang w:val="fr-CD"/>
        </w:rPr>
        <w:t>pour le point focal de sécurité ;</w:t>
      </w:r>
    </w:p>
    <w:p w14:paraId="56F3DEAE" w14:textId="63C615E8" w:rsidR="008C60BF" w:rsidRPr="005718D4" w:rsidRDefault="008C60BF" w:rsidP="003648D7">
      <w:pPr>
        <w:pStyle w:val="Paragraphedeliste"/>
        <w:numPr>
          <w:ilvl w:val="0"/>
          <w:numId w:val="18"/>
        </w:numPr>
        <w:tabs>
          <w:tab w:val="left" w:pos="851"/>
        </w:tabs>
        <w:rPr>
          <w:rFonts w:asciiTheme="minorHAnsi" w:hAnsiTheme="minorHAnsi" w:cstheme="minorHAnsi"/>
          <w:lang w:val="fr-CD"/>
        </w:rPr>
      </w:pPr>
      <w:r w:rsidRPr="005718D4">
        <w:rPr>
          <w:rFonts w:asciiTheme="minorHAnsi" w:hAnsiTheme="minorHAnsi" w:cstheme="minorHAnsi"/>
          <w:lang w:val="fr-CD"/>
        </w:rPr>
        <w:t>Être de bonne moralité ;</w:t>
      </w:r>
    </w:p>
    <w:p w14:paraId="2F3A1851" w14:textId="01762486" w:rsidR="003B0E95" w:rsidRPr="005718D4" w:rsidRDefault="00753FC1" w:rsidP="003648D7">
      <w:pPr>
        <w:pStyle w:val="Paragraphedeliste"/>
        <w:numPr>
          <w:ilvl w:val="0"/>
          <w:numId w:val="18"/>
        </w:numPr>
        <w:tabs>
          <w:tab w:val="left" w:pos="851"/>
        </w:tabs>
        <w:rPr>
          <w:rFonts w:asciiTheme="minorHAnsi" w:hAnsiTheme="minorHAnsi" w:cstheme="minorHAnsi"/>
          <w:lang w:val="fr-CD"/>
        </w:rPr>
      </w:pPr>
      <w:r w:rsidRPr="005718D4">
        <w:rPr>
          <w:rFonts w:asciiTheme="minorHAnsi" w:hAnsiTheme="minorHAnsi" w:cstheme="minorHAnsi"/>
          <w:lang w:val="fr-CD"/>
        </w:rPr>
        <w:t>Avoir été au moins une fois en recyclage</w:t>
      </w:r>
      <w:r w:rsidR="003B0E95" w:rsidRPr="005718D4">
        <w:rPr>
          <w:rFonts w:asciiTheme="minorHAnsi" w:hAnsiTheme="minorHAnsi" w:cstheme="minorHAnsi"/>
          <w:lang w:val="fr-CD"/>
        </w:rPr>
        <w:t>.</w:t>
      </w:r>
    </w:p>
    <w:p w14:paraId="12AF32D7" w14:textId="77777777" w:rsidR="00226ACF" w:rsidRPr="00226ACF" w:rsidRDefault="00226ACF" w:rsidP="00226ACF">
      <w:pPr>
        <w:rPr>
          <w:rFonts w:asciiTheme="minorHAnsi" w:hAnsiTheme="minorHAnsi" w:cstheme="minorHAnsi"/>
          <w:b/>
          <w:lang w:val="fr-FR"/>
        </w:rPr>
      </w:pPr>
      <w:r w:rsidRPr="00226ACF">
        <w:rPr>
          <w:rFonts w:asciiTheme="minorHAnsi" w:hAnsiTheme="minorHAnsi" w:cstheme="minorHAnsi"/>
          <w:b/>
          <w:lang w:val="fr-FR"/>
        </w:rPr>
        <w:t>Les candidatures féminines seront fortement encouragées de manière générale.</w:t>
      </w:r>
    </w:p>
    <w:p w14:paraId="1DBC12C3" w14:textId="4D4B7481" w:rsidR="00226ACF" w:rsidRDefault="00226ACF" w:rsidP="00226ACF">
      <w:pPr>
        <w:jc w:val="both"/>
        <w:rPr>
          <w:rFonts w:asciiTheme="minorHAnsi" w:hAnsiTheme="minorHAnsi" w:cstheme="minorHAnsi"/>
          <w:b/>
          <w:bCs/>
          <w:lang w:val="fr-FR"/>
        </w:rPr>
      </w:pPr>
      <w:r w:rsidRPr="00226ACF">
        <w:rPr>
          <w:rFonts w:asciiTheme="minorHAnsi" w:hAnsiTheme="minorHAnsi" w:cstheme="minorHAnsi"/>
          <w:b/>
          <w:bCs/>
          <w:lang w:val="fr-FR"/>
        </w:rPr>
        <w:t>Le(la) candidat(e) sélectionné(e) devra signer le code de bonne conduite du projet a la signature du contrat et toujours avant la prise de fonction</w:t>
      </w:r>
      <w:r>
        <w:rPr>
          <w:rFonts w:asciiTheme="minorHAnsi" w:hAnsiTheme="minorHAnsi" w:cstheme="minorHAnsi"/>
          <w:b/>
          <w:bCs/>
          <w:lang w:val="fr-FR"/>
        </w:rPr>
        <w:t>.</w:t>
      </w:r>
    </w:p>
    <w:p w14:paraId="62C14A15" w14:textId="41E49521" w:rsidR="00226ACF" w:rsidRDefault="00226ACF" w:rsidP="00226ACF">
      <w:pPr>
        <w:jc w:val="both"/>
        <w:rPr>
          <w:rFonts w:asciiTheme="minorHAnsi" w:hAnsiTheme="minorHAnsi" w:cstheme="minorHAnsi"/>
          <w:b/>
          <w:bCs/>
          <w:lang w:val="fr-FR"/>
        </w:rPr>
      </w:pPr>
    </w:p>
    <w:p w14:paraId="7939FAC3" w14:textId="084C81F2" w:rsidR="00226ACF" w:rsidRDefault="00226ACF" w:rsidP="00226ACF">
      <w:pPr>
        <w:jc w:val="both"/>
        <w:rPr>
          <w:rFonts w:asciiTheme="minorHAnsi" w:hAnsiTheme="minorHAnsi" w:cstheme="minorHAnsi"/>
          <w:b/>
          <w:bCs/>
          <w:lang w:val="fr-FR"/>
        </w:rPr>
      </w:pPr>
    </w:p>
    <w:p w14:paraId="7A21E58C" w14:textId="6B4C36CC" w:rsidR="00226ACF" w:rsidRDefault="00226ACF" w:rsidP="00226ACF">
      <w:pPr>
        <w:jc w:val="both"/>
        <w:rPr>
          <w:rFonts w:asciiTheme="minorHAnsi" w:hAnsiTheme="minorHAnsi" w:cstheme="minorHAnsi"/>
          <w:b/>
          <w:bCs/>
          <w:lang w:val="fr-FR"/>
        </w:rPr>
      </w:pPr>
    </w:p>
    <w:p w14:paraId="65DF2884" w14:textId="33019815" w:rsidR="00226ACF" w:rsidRDefault="00226ACF" w:rsidP="00226ACF">
      <w:pPr>
        <w:jc w:val="both"/>
        <w:rPr>
          <w:rFonts w:asciiTheme="minorHAnsi" w:hAnsiTheme="minorHAnsi" w:cstheme="minorHAnsi"/>
          <w:b/>
          <w:bCs/>
          <w:lang w:val="fr-FR"/>
        </w:rPr>
      </w:pPr>
    </w:p>
    <w:p w14:paraId="5F342050" w14:textId="535FFC88" w:rsidR="00226ACF" w:rsidRDefault="00226ACF" w:rsidP="00226ACF">
      <w:pPr>
        <w:jc w:val="both"/>
        <w:rPr>
          <w:rFonts w:asciiTheme="minorHAnsi" w:hAnsiTheme="minorHAnsi" w:cstheme="minorHAnsi"/>
          <w:b/>
          <w:bCs/>
          <w:lang w:val="fr-FR"/>
        </w:rPr>
      </w:pPr>
    </w:p>
    <w:p w14:paraId="2467D2B6" w14:textId="77777777" w:rsidR="00226ACF" w:rsidRPr="00226ACF" w:rsidRDefault="00226ACF" w:rsidP="00226ACF">
      <w:pPr>
        <w:jc w:val="both"/>
        <w:rPr>
          <w:rFonts w:asciiTheme="minorHAnsi" w:hAnsiTheme="minorHAnsi" w:cstheme="minorHAnsi"/>
          <w:b/>
          <w:spacing w:val="-3"/>
          <w:sz w:val="22"/>
          <w:szCs w:val="22"/>
          <w:lang w:val="fr-FR" w:eastAsia="fr-FR"/>
        </w:rPr>
      </w:pPr>
    </w:p>
    <w:p w14:paraId="07818E47" w14:textId="2A3BB231" w:rsidR="006D55C0" w:rsidRPr="005718D4" w:rsidRDefault="006D55C0" w:rsidP="006D55C0">
      <w:pPr>
        <w:jc w:val="both"/>
        <w:rPr>
          <w:rFonts w:asciiTheme="minorHAnsi" w:hAnsiTheme="minorHAnsi" w:cstheme="minorHAnsi"/>
          <w:b/>
          <w:spacing w:val="-3"/>
          <w:sz w:val="22"/>
          <w:szCs w:val="22"/>
          <w:lang w:val="fr-FR" w:eastAsia="fr-FR"/>
        </w:rPr>
      </w:pPr>
      <w:r w:rsidRPr="005718D4">
        <w:rPr>
          <w:rFonts w:asciiTheme="minorHAnsi" w:hAnsiTheme="minorHAnsi" w:cstheme="minorHAnsi"/>
          <w:b/>
          <w:spacing w:val="-3"/>
          <w:sz w:val="22"/>
          <w:szCs w:val="22"/>
          <w:lang w:val="fr-FR" w:eastAsia="fr-FR"/>
        </w:rPr>
        <w:lastRenderedPageBreak/>
        <w:t>IV. Durée de la mission</w:t>
      </w:r>
      <w:r w:rsidR="00226ACF">
        <w:rPr>
          <w:rFonts w:asciiTheme="minorHAnsi" w:hAnsiTheme="minorHAnsi" w:cstheme="minorHAnsi"/>
          <w:b/>
          <w:spacing w:val="-3"/>
          <w:sz w:val="22"/>
          <w:szCs w:val="22"/>
          <w:lang w:val="fr-FR" w:eastAsia="fr-FR"/>
        </w:rPr>
        <w:t xml:space="preserve"> et lieu d’affectation</w:t>
      </w:r>
    </w:p>
    <w:p w14:paraId="103BEC39" w14:textId="77777777" w:rsidR="006D55C0" w:rsidRPr="005718D4" w:rsidRDefault="006D55C0" w:rsidP="006D55C0">
      <w:pPr>
        <w:jc w:val="both"/>
        <w:rPr>
          <w:rFonts w:asciiTheme="minorHAnsi" w:hAnsiTheme="minorHAnsi" w:cstheme="minorHAnsi"/>
          <w:b/>
          <w:spacing w:val="-3"/>
          <w:sz w:val="22"/>
          <w:szCs w:val="22"/>
          <w:lang w:val="fr-FR" w:eastAsia="fr-FR"/>
        </w:rPr>
      </w:pPr>
    </w:p>
    <w:p w14:paraId="65E2038C" w14:textId="65294E1C" w:rsidR="006D55C0" w:rsidRDefault="006D55C0" w:rsidP="006D55C0">
      <w:pPr>
        <w:jc w:val="both"/>
        <w:rPr>
          <w:rFonts w:asciiTheme="minorHAnsi" w:hAnsiTheme="minorHAnsi" w:cstheme="minorHAnsi"/>
          <w:spacing w:val="-3"/>
          <w:sz w:val="22"/>
          <w:szCs w:val="22"/>
          <w:lang w:val="fr-FR" w:eastAsia="fr-FR"/>
        </w:rPr>
      </w:pPr>
      <w:r w:rsidRPr="005718D4">
        <w:rPr>
          <w:rFonts w:asciiTheme="minorHAnsi" w:hAnsiTheme="minorHAnsi" w:cstheme="minorHAnsi"/>
          <w:spacing w:val="-3"/>
          <w:sz w:val="22"/>
          <w:szCs w:val="22"/>
          <w:lang w:val="fr-FR" w:eastAsia="fr-FR"/>
        </w:rPr>
        <w:t>La durée du contrat est de 12 mois avec possibilité de renouvellement</w:t>
      </w:r>
      <w:r w:rsidR="00226ACF">
        <w:rPr>
          <w:rFonts w:asciiTheme="minorHAnsi" w:hAnsiTheme="minorHAnsi" w:cstheme="minorHAnsi"/>
          <w:spacing w:val="-3"/>
          <w:sz w:val="22"/>
          <w:szCs w:val="22"/>
          <w:lang w:val="fr-FR" w:eastAsia="fr-FR"/>
        </w:rPr>
        <w:t>.</w:t>
      </w:r>
    </w:p>
    <w:p w14:paraId="27DD569F" w14:textId="77777777" w:rsidR="00226ACF" w:rsidRDefault="00226ACF" w:rsidP="00226ACF">
      <w:pPr>
        <w:pStyle w:val="Paragraphedeliste"/>
        <w:spacing w:after="120"/>
        <w:ind w:left="0"/>
        <w:rPr>
          <w:rFonts w:asciiTheme="minorHAnsi" w:eastAsia="Times New Roman" w:hAnsiTheme="minorHAnsi" w:cstheme="minorHAnsi"/>
          <w:spacing w:val="-3"/>
          <w:lang w:eastAsia="fr-FR"/>
        </w:rPr>
      </w:pPr>
    </w:p>
    <w:p w14:paraId="0144D1CF" w14:textId="02378B08" w:rsidR="00226ACF" w:rsidRPr="00226ACF" w:rsidRDefault="00226ACF" w:rsidP="00226ACF">
      <w:pPr>
        <w:pStyle w:val="Paragraphedeliste"/>
        <w:spacing w:after="120"/>
        <w:ind w:left="0"/>
        <w:rPr>
          <w:rFonts w:asciiTheme="minorHAnsi" w:eastAsia="Times New Roman" w:hAnsiTheme="minorHAnsi" w:cstheme="minorHAnsi"/>
          <w:spacing w:val="-3"/>
          <w:lang w:eastAsia="fr-FR"/>
        </w:rPr>
      </w:pPr>
      <w:r w:rsidRPr="00226ACF">
        <w:rPr>
          <w:rFonts w:asciiTheme="minorHAnsi" w:eastAsia="Times New Roman" w:hAnsiTheme="minorHAnsi" w:cstheme="minorHAnsi"/>
          <w:spacing w:val="-3"/>
          <w:lang w:eastAsia="fr-FR"/>
        </w:rPr>
        <w:t>Le poste est basé à Goma (*). Le candidat pourra effectuer des missions dans les provinces de l’aire du Projet dans le cadre de l’exercice de sa fonction.</w:t>
      </w:r>
    </w:p>
    <w:p w14:paraId="7CA672CB" w14:textId="4831A407" w:rsidR="00226ACF" w:rsidRPr="00226ACF" w:rsidRDefault="00226ACF" w:rsidP="00226ACF">
      <w:pPr>
        <w:jc w:val="both"/>
        <w:rPr>
          <w:rFonts w:asciiTheme="minorHAnsi" w:hAnsiTheme="minorHAnsi" w:cstheme="minorHAnsi"/>
          <w:spacing w:val="-3"/>
          <w:sz w:val="22"/>
          <w:szCs w:val="22"/>
          <w:lang w:val="fr-FR" w:eastAsia="fr-FR"/>
        </w:rPr>
      </w:pPr>
      <w:r w:rsidRPr="00226ACF">
        <w:rPr>
          <w:rFonts w:ascii="Garamond" w:hAnsi="Garamond"/>
          <w:b/>
          <w:lang w:val="fr-FR" w:eastAsia="x-none"/>
        </w:rPr>
        <w:t>(*) : Etant donné que la Coordination Générale du Projet sera provisoirement basée à Bukavu pour la première année de la mise en œuvre du Projet, La possibilité de déploiement à Goma fera l’objet d’une évaluation en temps opportun</w:t>
      </w:r>
    </w:p>
    <w:p w14:paraId="2AAEFE95" w14:textId="0A90C0A0" w:rsidR="006D55C0" w:rsidRPr="005718D4" w:rsidRDefault="006D55C0" w:rsidP="006D55C0">
      <w:pPr>
        <w:jc w:val="both"/>
        <w:rPr>
          <w:rFonts w:asciiTheme="minorHAnsi" w:hAnsiTheme="minorHAnsi" w:cstheme="minorHAnsi"/>
          <w:spacing w:val="-3"/>
          <w:sz w:val="22"/>
          <w:szCs w:val="22"/>
          <w:lang w:val="fr-FR" w:eastAsia="fr-FR"/>
        </w:rPr>
      </w:pPr>
    </w:p>
    <w:p w14:paraId="24EBD577" w14:textId="5B8A4632" w:rsidR="001B53EC" w:rsidRPr="005718D4" w:rsidRDefault="001B53EC" w:rsidP="001B53EC">
      <w:pPr>
        <w:jc w:val="both"/>
        <w:rPr>
          <w:rFonts w:asciiTheme="minorHAnsi" w:hAnsiTheme="minorHAnsi" w:cstheme="minorHAnsi"/>
          <w:spacing w:val="-3"/>
          <w:sz w:val="22"/>
          <w:szCs w:val="22"/>
          <w:lang w:val="fr-FR" w:eastAsia="fr-FR"/>
        </w:rPr>
      </w:pPr>
      <w:r w:rsidRPr="005718D4">
        <w:rPr>
          <w:rFonts w:asciiTheme="minorHAnsi" w:hAnsiTheme="minorHAnsi" w:cstheme="minorHAnsi"/>
          <w:b/>
          <w:spacing w:val="-3"/>
          <w:sz w:val="22"/>
          <w:szCs w:val="22"/>
          <w:lang w:val="fr-FR" w:eastAsia="fr-FR"/>
        </w:rPr>
        <w:t>V. Mode de recrutement</w:t>
      </w:r>
    </w:p>
    <w:p w14:paraId="630524E0" w14:textId="77777777" w:rsidR="001B53EC" w:rsidRPr="005718D4" w:rsidRDefault="001B53EC" w:rsidP="006D55C0">
      <w:pPr>
        <w:tabs>
          <w:tab w:val="left" w:pos="1500"/>
        </w:tabs>
        <w:rPr>
          <w:rFonts w:asciiTheme="minorHAnsi" w:hAnsiTheme="minorHAnsi" w:cstheme="minorHAnsi"/>
          <w:spacing w:val="-3"/>
          <w:sz w:val="22"/>
          <w:szCs w:val="22"/>
          <w:lang w:val="fr-FR" w:eastAsia="fr-FR"/>
        </w:rPr>
      </w:pPr>
    </w:p>
    <w:p w14:paraId="2F3A18E6" w14:textId="1AF59EBB" w:rsidR="004023D6" w:rsidRPr="005718D4" w:rsidRDefault="001B53EC" w:rsidP="006D55C0">
      <w:pPr>
        <w:tabs>
          <w:tab w:val="left" w:pos="1500"/>
        </w:tabs>
        <w:rPr>
          <w:rFonts w:asciiTheme="minorHAnsi" w:hAnsiTheme="minorHAnsi" w:cstheme="minorHAnsi"/>
          <w:spacing w:val="-3"/>
          <w:sz w:val="22"/>
          <w:szCs w:val="22"/>
          <w:lang w:val="fr-FR" w:eastAsia="fr-FR"/>
        </w:rPr>
      </w:pPr>
      <w:r w:rsidRPr="005718D4">
        <w:rPr>
          <w:rFonts w:asciiTheme="minorHAnsi" w:hAnsiTheme="minorHAnsi" w:cstheme="minorHAnsi"/>
          <w:spacing w:val="-3"/>
          <w:sz w:val="22"/>
          <w:szCs w:val="22"/>
          <w:lang w:val="fr-FR" w:eastAsia="fr-FR"/>
        </w:rPr>
        <w:t xml:space="preserve">Le processus de passation des marchés sera conduit par la méthode de sélection des consultants individuels par approche </w:t>
      </w:r>
      <w:r w:rsidR="00226ACF">
        <w:rPr>
          <w:rFonts w:asciiTheme="minorHAnsi" w:hAnsiTheme="minorHAnsi" w:cstheme="minorHAnsi"/>
          <w:spacing w:val="-3"/>
          <w:sz w:val="22"/>
          <w:szCs w:val="22"/>
          <w:lang w:val="fr-FR" w:eastAsia="fr-FR"/>
        </w:rPr>
        <w:t>restrein</w:t>
      </w:r>
      <w:r w:rsidRPr="005718D4">
        <w:rPr>
          <w:rFonts w:asciiTheme="minorHAnsi" w:hAnsiTheme="minorHAnsi" w:cstheme="minorHAnsi"/>
          <w:spacing w:val="-3"/>
          <w:sz w:val="22"/>
          <w:szCs w:val="22"/>
          <w:lang w:val="fr-FR" w:eastAsia="fr-FR"/>
        </w:rPr>
        <w:t>te conformément à la Nouvelle Règlementation de passation des marchés de la Banque mondiale pour les Emprunteurs sollicitant le Financement de Projets d’Investissement (FPI), Fournitures, Travaux, Services Autres que des Services de Consultants et Services de Consultants de Juillet 2016, Révisée en Novembre 2017, Août 2018 et Novembre 2020.</w:t>
      </w:r>
    </w:p>
    <w:p w14:paraId="3F28C7F1" w14:textId="77777777" w:rsidR="009913D2" w:rsidRPr="005718D4" w:rsidRDefault="009913D2" w:rsidP="006D55C0">
      <w:pPr>
        <w:tabs>
          <w:tab w:val="left" w:pos="1500"/>
        </w:tabs>
        <w:rPr>
          <w:rFonts w:asciiTheme="minorHAnsi" w:hAnsiTheme="minorHAnsi" w:cstheme="minorHAnsi"/>
          <w:spacing w:val="-3"/>
          <w:sz w:val="22"/>
          <w:szCs w:val="22"/>
          <w:lang w:val="fr-FR" w:eastAsia="fr-FR"/>
        </w:rPr>
      </w:pPr>
    </w:p>
    <w:p w14:paraId="1F6623FD" w14:textId="77777777" w:rsidR="009913D2" w:rsidRPr="005718D4" w:rsidRDefault="009913D2" w:rsidP="009913D2">
      <w:pPr>
        <w:pStyle w:val="Paragraphedeliste"/>
        <w:spacing w:after="0"/>
        <w:ind w:left="0"/>
        <w:jc w:val="both"/>
        <w:rPr>
          <w:rFonts w:asciiTheme="minorHAnsi" w:eastAsia="Times New Roman" w:hAnsiTheme="minorHAnsi" w:cstheme="minorHAnsi"/>
          <w:color w:val="666666"/>
          <w:lang w:eastAsia="fr-FR"/>
        </w:rPr>
      </w:pPr>
      <w:r w:rsidRPr="005718D4">
        <w:rPr>
          <w:rFonts w:asciiTheme="minorHAnsi" w:hAnsiTheme="minorHAnsi" w:cstheme="minorHAnsi"/>
        </w:rPr>
        <w:t>Les fonctionnaires ou Agents des structures publiques centrales ou provinciales peuvent faire acte de candidature, mais, en cas de recrutement, le candidat fonctionnaire retenu devra au préalable obtenir une mise en détachement (cf. articles 23, 32, 33 et 34 du statut des fonctionnaires)</w:t>
      </w:r>
      <w:r w:rsidRPr="005718D4">
        <w:rPr>
          <w:rFonts w:asciiTheme="minorHAnsi" w:hAnsiTheme="minorHAnsi" w:cstheme="minorHAnsi"/>
          <w:strike/>
        </w:rPr>
        <w:t xml:space="preserve">.    </w:t>
      </w:r>
    </w:p>
    <w:p w14:paraId="17C8824B" w14:textId="11C351F2" w:rsidR="00CD2281" w:rsidRPr="005718D4" w:rsidRDefault="00CD2281" w:rsidP="006D55C0">
      <w:pPr>
        <w:tabs>
          <w:tab w:val="left" w:pos="1500"/>
        </w:tabs>
        <w:rPr>
          <w:rFonts w:asciiTheme="minorHAnsi" w:hAnsiTheme="minorHAnsi" w:cstheme="minorHAnsi"/>
          <w:spacing w:val="-3"/>
          <w:sz w:val="22"/>
          <w:szCs w:val="22"/>
          <w:lang w:val="fr-FR" w:eastAsia="fr-FR"/>
        </w:rPr>
      </w:pPr>
    </w:p>
    <w:p w14:paraId="0D2B7507" w14:textId="77777777" w:rsidR="009913D2" w:rsidRPr="005718D4" w:rsidRDefault="009913D2" w:rsidP="006D55C0">
      <w:pPr>
        <w:tabs>
          <w:tab w:val="left" w:pos="1500"/>
        </w:tabs>
        <w:rPr>
          <w:rFonts w:asciiTheme="minorHAnsi" w:hAnsiTheme="minorHAnsi" w:cstheme="minorHAnsi"/>
          <w:spacing w:val="-3"/>
          <w:sz w:val="22"/>
          <w:szCs w:val="22"/>
          <w:lang w:val="fr-FR" w:eastAsia="fr-FR"/>
        </w:rPr>
      </w:pPr>
    </w:p>
    <w:p w14:paraId="023B2D6C"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334A4839"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43C19132"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73EBF783"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3E836050"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5112C37D"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57E277DD"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261D30E1"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48E8E82D"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2A1FE848"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251ED525"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2AE3AEC1"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7BB3F26F"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416881BD"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6145FB69"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54CADD7C"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059FBEEF"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5C6C84FB"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4A3666D4"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48FFFB47" w14:textId="77777777" w:rsidR="00CD2281" w:rsidRPr="005718D4" w:rsidRDefault="00CD2281" w:rsidP="006D55C0">
      <w:pPr>
        <w:tabs>
          <w:tab w:val="left" w:pos="1500"/>
        </w:tabs>
        <w:rPr>
          <w:rFonts w:asciiTheme="minorHAnsi" w:hAnsiTheme="minorHAnsi" w:cstheme="minorHAnsi"/>
          <w:spacing w:val="-3"/>
          <w:sz w:val="22"/>
          <w:szCs w:val="22"/>
          <w:lang w:val="fr-FR" w:eastAsia="fr-FR"/>
        </w:rPr>
      </w:pPr>
    </w:p>
    <w:p w14:paraId="1357D507" w14:textId="77777777" w:rsidR="00CD2281" w:rsidRPr="005718D4" w:rsidRDefault="00CD2281" w:rsidP="00CD2281">
      <w:pPr>
        <w:tabs>
          <w:tab w:val="left" w:pos="0"/>
          <w:tab w:val="left" w:pos="720"/>
          <w:tab w:val="left" w:pos="1080"/>
        </w:tabs>
        <w:overflowPunct w:val="0"/>
        <w:autoSpaceDE w:val="0"/>
        <w:autoSpaceDN w:val="0"/>
        <w:adjustRightInd w:val="0"/>
        <w:jc w:val="both"/>
        <w:textAlignment w:val="baseline"/>
        <w:rPr>
          <w:rFonts w:asciiTheme="minorHAnsi" w:hAnsiTheme="minorHAnsi" w:cstheme="minorHAnsi"/>
          <w:b/>
          <w:sz w:val="22"/>
          <w:szCs w:val="22"/>
          <w:lang w:val="fr-FR"/>
        </w:rPr>
      </w:pPr>
      <w:r w:rsidRPr="005718D4">
        <w:rPr>
          <w:rFonts w:asciiTheme="minorHAnsi" w:hAnsiTheme="minorHAnsi" w:cstheme="minorHAnsi"/>
          <w:b/>
          <w:sz w:val="22"/>
          <w:szCs w:val="22"/>
          <w:lang w:val="fr-FR"/>
        </w:rPr>
        <w:t xml:space="preserve">Annexe : </w:t>
      </w:r>
      <w:r w:rsidRPr="005718D4">
        <w:rPr>
          <w:rFonts w:asciiTheme="minorHAnsi" w:hAnsiTheme="minorHAnsi" w:cstheme="minorHAnsi"/>
          <w:b/>
          <w:sz w:val="22"/>
          <w:szCs w:val="22"/>
          <w:lang w:val="fr-FR"/>
        </w:rPr>
        <w:tab/>
        <w:t>Politiques de la Banque – Corruption et pratiques frauduleuses</w:t>
      </w:r>
    </w:p>
    <w:p w14:paraId="2B941E9F" w14:textId="77777777" w:rsidR="00CD2281" w:rsidRPr="005718D4" w:rsidRDefault="00CD2281" w:rsidP="00CD2281">
      <w:pPr>
        <w:keepNext/>
        <w:tabs>
          <w:tab w:val="left" w:pos="0"/>
          <w:tab w:val="left" w:pos="720"/>
        </w:tabs>
        <w:overflowPunct w:val="0"/>
        <w:autoSpaceDE w:val="0"/>
        <w:autoSpaceDN w:val="0"/>
        <w:adjustRightInd w:val="0"/>
        <w:textAlignment w:val="baseline"/>
        <w:outlineLvl w:val="0"/>
        <w:rPr>
          <w:rFonts w:asciiTheme="minorHAnsi" w:hAnsiTheme="minorHAnsi" w:cstheme="minorHAnsi"/>
          <w:b/>
          <w:sz w:val="22"/>
          <w:szCs w:val="22"/>
          <w:lang w:val="fr-FR"/>
        </w:rPr>
      </w:pPr>
      <w:r w:rsidRPr="005718D4">
        <w:rPr>
          <w:rFonts w:asciiTheme="minorHAnsi" w:hAnsiTheme="minorHAnsi" w:cstheme="minorHAnsi"/>
          <w:b/>
          <w:sz w:val="22"/>
          <w:szCs w:val="22"/>
          <w:lang w:val="fr-FR"/>
        </w:rPr>
        <w:t xml:space="preserve">  </w:t>
      </w:r>
    </w:p>
    <w:p w14:paraId="6C6792A0" w14:textId="77777777" w:rsidR="00CD2281" w:rsidRPr="005718D4" w:rsidRDefault="00CD2281" w:rsidP="00CD2281">
      <w:pPr>
        <w:suppressAutoHyphens/>
        <w:overflowPunct w:val="0"/>
        <w:autoSpaceDE w:val="0"/>
        <w:autoSpaceDN w:val="0"/>
        <w:adjustRightInd w:val="0"/>
        <w:jc w:val="both"/>
        <w:textAlignment w:val="baseline"/>
        <w:rPr>
          <w:rFonts w:asciiTheme="minorHAnsi" w:hAnsiTheme="minorHAnsi" w:cstheme="minorHAnsi"/>
          <w:b/>
          <w:sz w:val="22"/>
          <w:szCs w:val="22"/>
          <w:lang w:val="fr-FR"/>
        </w:rPr>
      </w:pPr>
      <w:r w:rsidRPr="005718D4">
        <w:rPr>
          <w:rFonts w:asciiTheme="minorHAnsi" w:hAnsiTheme="minorHAnsi" w:cstheme="minorHAnsi"/>
          <w:b/>
          <w:sz w:val="22"/>
          <w:szCs w:val="22"/>
          <w:lang w:val="fr-FR"/>
        </w:rPr>
        <w:t>Directives pour la sélection et l’emploi de Consultants par les emprunteurs de la Banque Mondiale dans le cadre des prêts de la BIRD et des crédits et dons de l’AID, datées de janvier 2011 :</w:t>
      </w:r>
    </w:p>
    <w:p w14:paraId="5C70EE4C" w14:textId="77777777" w:rsidR="00CD2281" w:rsidRPr="005718D4" w:rsidRDefault="00CD2281" w:rsidP="00CD2281">
      <w:pPr>
        <w:suppressAutoHyphens/>
        <w:overflowPunct w:val="0"/>
        <w:autoSpaceDE w:val="0"/>
        <w:autoSpaceDN w:val="0"/>
        <w:adjustRightInd w:val="0"/>
        <w:jc w:val="both"/>
        <w:textAlignment w:val="baseline"/>
        <w:rPr>
          <w:rFonts w:asciiTheme="minorHAnsi" w:hAnsiTheme="minorHAnsi" w:cstheme="minorHAnsi"/>
          <w:sz w:val="22"/>
          <w:szCs w:val="22"/>
          <w:lang w:val="fr-FR"/>
        </w:rPr>
      </w:pPr>
    </w:p>
    <w:p w14:paraId="7372C248" w14:textId="77777777" w:rsidR="00CD2281" w:rsidRPr="005718D4" w:rsidRDefault="00CD2281" w:rsidP="00CD2281">
      <w:pPr>
        <w:suppressAutoHyphens/>
        <w:overflowPunct w:val="0"/>
        <w:autoSpaceDE w:val="0"/>
        <w:autoSpaceDN w:val="0"/>
        <w:adjustRightInd w:val="0"/>
        <w:jc w:val="both"/>
        <w:textAlignment w:val="baseline"/>
        <w:rPr>
          <w:rFonts w:asciiTheme="minorHAnsi" w:hAnsiTheme="minorHAnsi" w:cstheme="minorHAnsi"/>
          <w:b/>
          <w:sz w:val="22"/>
          <w:szCs w:val="22"/>
          <w:lang w:val="fr-FR"/>
        </w:rPr>
      </w:pPr>
      <w:r w:rsidRPr="005718D4">
        <w:rPr>
          <w:rFonts w:asciiTheme="minorHAnsi" w:hAnsiTheme="minorHAnsi" w:cstheme="minorHAnsi"/>
          <w:sz w:val="22"/>
          <w:szCs w:val="22"/>
          <w:lang w:val="fr-FR"/>
        </w:rPr>
        <w:t>« </w:t>
      </w:r>
      <w:r w:rsidRPr="005718D4">
        <w:rPr>
          <w:rFonts w:asciiTheme="minorHAnsi" w:hAnsiTheme="minorHAnsi" w:cstheme="minorHAnsi"/>
          <w:b/>
          <w:sz w:val="22"/>
          <w:szCs w:val="22"/>
          <w:lang w:val="fr-FR"/>
        </w:rPr>
        <w:t>Fraude et Corruption</w:t>
      </w:r>
      <w:r w:rsidRPr="005718D4">
        <w:rPr>
          <w:rFonts w:asciiTheme="minorHAnsi" w:hAnsiTheme="minorHAnsi" w:cstheme="minorHAnsi"/>
          <w:sz w:val="22"/>
          <w:szCs w:val="22"/>
          <w:lang w:val="fr-FR"/>
        </w:rPr>
        <w:t> »</w:t>
      </w:r>
    </w:p>
    <w:p w14:paraId="14943AD8" w14:textId="77777777" w:rsidR="00CD2281" w:rsidRPr="005718D4" w:rsidRDefault="00CD2281" w:rsidP="00CD2281">
      <w:pPr>
        <w:suppressAutoHyphens/>
        <w:overflowPunct w:val="0"/>
        <w:autoSpaceDE w:val="0"/>
        <w:autoSpaceDN w:val="0"/>
        <w:adjustRightInd w:val="0"/>
        <w:jc w:val="both"/>
        <w:textAlignment w:val="baseline"/>
        <w:rPr>
          <w:rFonts w:asciiTheme="minorHAnsi" w:hAnsiTheme="minorHAnsi" w:cstheme="minorHAnsi"/>
          <w:b/>
          <w:sz w:val="22"/>
          <w:szCs w:val="22"/>
          <w:lang w:val="fr-FR"/>
        </w:rPr>
      </w:pPr>
    </w:p>
    <w:p w14:paraId="15A23F85" w14:textId="77777777" w:rsidR="00CD2281" w:rsidRPr="005718D4" w:rsidRDefault="00CD2281" w:rsidP="00CD2281">
      <w:pPr>
        <w:suppressAutoHyphens/>
        <w:overflowPunct w:val="0"/>
        <w:autoSpaceDE w:val="0"/>
        <w:autoSpaceDN w:val="0"/>
        <w:adjustRightInd w:val="0"/>
        <w:jc w:val="both"/>
        <w:textAlignment w:val="baseline"/>
        <w:rPr>
          <w:rFonts w:asciiTheme="minorHAnsi" w:hAnsiTheme="minorHAnsi" w:cstheme="minorHAnsi"/>
          <w:sz w:val="22"/>
          <w:szCs w:val="22"/>
          <w:lang w:val="fr-FR" w:eastAsia="fr-FR"/>
        </w:rPr>
      </w:pPr>
      <w:r w:rsidRPr="005718D4">
        <w:rPr>
          <w:rFonts w:asciiTheme="minorHAnsi" w:hAnsiTheme="minorHAnsi" w:cstheme="minorHAnsi"/>
          <w:sz w:val="22"/>
          <w:szCs w:val="22"/>
          <w:lang w:val="fr-FR" w:eastAsia="fr-FR"/>
        </w:rPr>
        <w:t xml:space="preserve">1.23 La Banque a pour principe, dans le cadre des marchés qu’elle finance, de demander aux Emprunteurs (y compris les bénéficiaires de ses prêts), aux consultants et leurs agents (qu’ils soient déclarés ou non), aux sous-traitants, aux prestataires de services, ainsi qu’aux personnels de ces entités, d’observer les règles d’éthique professionnelle les plus strictes, lors de la passation et de l’exécution des marchés financés par la Banque </w:t>
      </w:r>
      <w:r w:rsidRPr="005718D4">
        <w:rPr>
          <w:rFonts w:asciiTheme="minorHAnsi" w:hAnsiTheme="minorHAnsi" w:cstheme="minorHAnsi"/>
          <w:i/>
          <w:sz w:val="22"/>
          <w:szCs w:val="22"/>
          <w:lang w:val="fr-FR" w:eastAsia="fr-FR"/>
        </w:rPr>
        <w:t>[Note : Dans ce contexte, toute action entreprise par un consultant ou un de son personnel, ou ses agents, ou ses sous-traitants, prestataires de services, fournisseurs, et/ou leurs employés, pour influencer le processus de sélection ou l’exécution du contrat pour un avantage indu, est inacceptable].</w:t>
      </w:r>
      <w:r w:rsidRPr="005718D4">
        <w:rPr>
          <w:rFonts w:asciiTheme="minorHAnsi" w:hAnsiTheme="minorHAnsi" w:cstheme="minorHAnsi"/>
          <w:sz w:val="22"/>
          <w:szCs w:val="22"/>
          <w:lang w:val="fr-FR" w:eastAsia="fr-FR"/>
        </w:rPr>
        <w:t xml:space="preserve"> En vertu de ce principe, la Banque :</w:t>
      </w:r>
    </w:p>
    <w:p w14:paraId="0C6B9CFF" w14:textId="77777777" w:rsidR="00CD2281" w:rsidRPr="005718D4" w:rsidRDefault="00CD2281" w:rsidP="00CD2281">
      <w:pPr>
        <w:suppressAutoHyphens/>
        <w:overflowPunct w:val="0"/>
        <w:autoSpaceDE w:val="0"/>
        <w:autoSpaceDN w:val="0"/>
        <w:adjustRightInd w:val="0"/>
        <w:jc w:val="both"/>
        <w:textAlignment w:val="baseline"/>
        <w:rPr>
          <w:rFonts w:asciiTheme="minorHAnsi" w:hAnsiTheme="minorHAnsi" w:cstheme="minorHAnsi"/>
          <w:sz w:val="22"/>
          <w:szCs w:val="22"/>
          <w:lang w:val="fr-FR" w:eastAsia="fr-FR"/>
        </w:rPr>
      </w:pPr>
    </w:p>
    <w:p w14:paraId="1772A7A6" w14:textId="77777777" w:rsidR="00CD2281" w:rsidRPr="005718D4" w:rsidRDefault="00CD2281" w:rsidP="00CD2281">
      <w:pPr>
        <w:numPr>
          <w:ilvl w:val="2"/>
          <w:numId w:val="20"/>
        </w:numPr>
        <w:tabs>
          <w:tab w:val="num" w:pos="480"/>
        </w:tabs>
        <w:suppressAutoHyphens/>
        <w:overflowPunct w:val="0"/>
        <w:autoSpaceDE w:val="0"/>
        <w:autoSpaceDN w:val="0"/>
        <w:adjustRightInd w:val="0"/>
        <w:spacing w:after="200" w:line="276" w:lineRule="auto"/>
        <w:ind w:left="480" w:hanging="480"/>
        <w:jc w:val="both"/>
        <w:textAlignment w:val="baseline"/>
        <w:rPr>
          <w:rFonts w:asciiTheme="minorHAnsi" w:hAnsiTheme="minorHAnsi" w:cstheme="minorHAnsi"/>
          <w:sz w:val="22"/>
          <w:szCs w:val="22"/>
          <w:lang w:val="fr-FR" w:eastAsia="fr-FR"/>
        </w:rPr>
      </w:pPr>
      <w:r w:rsidRPr="005718D4">
        <w:rPr>
          <w:rFonts w:asciiTheme="minorHAnsi" w:hAnsiTheme="minorHAnsi" w:cstheme="minorHAnsi"/>
          <w:sz w:val="22"/>
          <w:szCs w:val="22"/>
          <w:lang w:val="fr-FR" w:eastAsia="fr-FR"/>
        </w:rPr>
        <w:t xml:space="preserve">aux fins d’application de la présente disposition, définit comme suit les expressions suivantes : </w:t>
      </w:r>
    </w:p>
    <w:p w14:paraId="249649F2" w14:textId="77777777" w:rsidR="00CD2281" w:rsidRPr="005718D4" w:rsidRDefault="00CD2281" w:rsidP="00CD2281">
      <w:pPr>
        <w:suppressAutoHyphens/>
        <w:overflowPunct w:val="0"/>
        <w:autoSpaceDE w:val="0"/>
        <w:autoSpaceDN w:val="0"/>
        <w:adjustRightInd w:val="0"/>
        <w:jc w:val="both"/>
        <w:textAlignment w:val="baseline"/>
        <w:rPr>
          <w:rFonts w:asciiTheme="minorHAnsi" w:hAnsiTheme="minorHAnsi" w:cstheme="minorHAnsi"/>
          <w:sz w:val="22"/>
          <w:szCs w:val="22"/>
          <w:lang w:val="fr-FR" w:eastAsia="fr-FR"/>
        </w:rPr>
      </w:pPr>
    </w:p>
    <w:p w14:paraId="349F9D0F" w14:textId="77777777" w:rsidR="00CD2281" w:rsidRPr="005718D4" w:rsidRDefault="00CD2281" w:rsidP="00CD2281">
      <w:pPr>
        <w:numPr>
          <w:ilvl w:val="0"/>
          <w:numId w:val="21"/>
        </w:numPr>
        <w:suppressAutoHyphens/>
        <w:overflowPunct w:val="0"/>
        <w:autoSpaceDE w:val="0"/>
        <w:autoSpaceDN w:val="0"/>
        <w:adjustRightInd w:val="0"/>
        <w:spacing w:after="200" w:line="276" w:lineRule="auto"/>
        <w:ind w:left="960" w:hanging="480"/>
        <w:jc w:val="both"/>
        <w:textAlignment w:val="baseline"/>
        <w:rPr>
          <w:rFonts w:asciiTheme="minorHAnsi" w:hAnsiTheme="minorHAnsi" w:cstheme="minorHAnsi"/>
          <w:sz w:val="22"/>
          <w:szCs w:val="22"/>
          <w:lang w:val="fr-FR" w:eastAsia="fr-FR"/>
        </w:rPr>
      </w:pPr>
      <w:r w:rsidRPr="005718D4">
        <w:rPr>
          <w:rFonts w:asciiTheme="minorHAnsi" w:hAnsiTheme="minorHAnsi" w:cstheme="minorHAnsi"/>
          <w:sz w:val="22"/>
          <w:szCs w:val="22"/>
          <w:lang w:val="fr-FR" w:eastAsia="fr-FR"/>
        </w:rPr>
        <w:t>est coupable de « corruption »quiconque offre, donne, sollicite ou accepte, directement ou indirectement, un quelconque avantage en vue d’influer indûment sur l’action d’une autre personne ou entité</w:t>
      </w:r>
      <w:r w:rsidRPr="005718D4">
        <w:rPr>
          <w:rFonts w:asciiTheme="minorHAnsi" w:hAnsiTheme="minorHAnsi" w:cstheme="minorHAnsi"/>
          <w:sz w:val="22"/>
          <w:szCs w:val="22"/>
          <w:vertAlign w:val="superscript"/>
          <w:lang w:val="fr-FR" w:eastAsia="fr-FR"/>
        </w:rPr>
        <w:footnoteReference w:id="1"/>
      </w:r>
      <w:r w:rsidRPr="005718D4">
        <w:rPr>
          <w:rFonts w:asciiTheme="minorHAnsi" w:hAnsiTheme="minorHAnsi" w:cstheme="minorHAnsi"/>
          <w:sz w:val="22"/>
          <w:szCs w:val="22"/>
          <w:lang w:val="fr-FR" w:eastAsia="fr-FR"/>
        </w:rPr>
        <w:t xml:space="preserve"> ; </w:t>
      </w:r>
    </w:p>
    <w:p w14:paraId="6A59219D" w14:textId="77777777" w:rsidR="00CD2281" w:rsidRPr="005718D4" w:rsidRDefault="00CD2281" w:rsidP="00CD2281">
      <w:pPr>
        <w:suppressAutoHyphens/>
        <w:overflowPunct w:val="0"/>
        <w:autoSpaceDE w:val="0"/>
        <w:autoSpaceDN w:val="0"/>
        <w:adjustRightInd w:val="0"/>
        <w:jc w:val="both"/>
        <w:textAlignment w:val="baseline"/>
        <w:rPr>
          <w:rFonts w:asciiTheme="minorHAnsi" w:hAnsiTheme="minorHAnsi" w:cstheme="minorHAnsi"/>
          <w:sz w:val="22"/>
          <w:szCs w:val="22"/>
          <w:lang w:val="fr-FR" w:eastAsia="fr-FR"/>
        </w:rPr>
      </w:pPr>
    </w:p>
    <w:p w14:paraId="786B63B7" w14:textId="77777777" w:rsidR="00CD2281" w:rsidRPr="005718D4" w:rsidRDefault="00CD2281" w:rsidP="00CD2281">
      <w:pPr>
        <w:numPr>
          <w:ilvl w:val="1"/>
          <w:numId w:val="21"/>
        </w:numPr>
        <w:suppressAutoHyphens/>
        <w:overflowPunct w:val="0"/>
        <w:autoSpaceDE w:val="0"/>
        <w:autoSpaceDN w:val="0"/>
        <w:adjustRightInd w:val="0"/>
        <w:spacing w:after="200" w:line="276" w:lineRule="auto"/>
        <w:ind w:left="960" w:hanging="480"/>
        <w:jc w:val="both"/>
        <w:textAlignment w:val="baseline"/>
        <w:rPr>
          <w:rFonts w:asciiTheme="minorHAnsi" w:hAnsiTheme="minorHAnsi" w:cstheme="minorHAnsi"/>
          <w:sz w:val="22"/>
          <w:szCs w:val="22"/>
          <w:lang w:val="fr-FR" w:eastAsia="fr-FR"/>
        </w:rPr>
      </w:pPr>
      <w:r w:rsidRPr="005718D4">
        <w:rPr>
          <w:rFonts w:asciiTheme="minorHAnsi" w:hAnsiTheme="minorHAnsi" w:cstheme="minorHAnsi"/>
          <w:sz w:val="22"/>
          <w:szCs w:val="22"/>
          <w:lang w:val="fr-FR" w:eastAsia="fr-FR"/>
        </w:rPr>
        <w:t>se livre à des « manœuvres frauduleuses »quiconque agit, ou dénature des faits, délibérément ou par imprudence intentionnelle, ou tente d’induire en erreur une personne ou une entité afin d’en retirer un avantage financier ou de toute autre nature, ou se dérober à une obligation</w:t>
      </w:r>
      <w:r w:rsidRPr="005718D4">
        <w:rPr>
          <w:rFonts w:asciiTheme="minorHAnsi" w:hAnsiTheme="minorHAnsi" w:cstheme="minorHAnsi"/>
          <w:sz w:val="22"/>
          <w:szCs w:val="22"/>
          <w:vertAlign w:val="superscript"/>
          <w:lang w:val="fr-FR" w:eastAsia="fr-FR"/>
        </w:rPr>
        <w:footnoteReference w:id="2"/>
      </w:r>
      <w:r w:rsidRPr="005718D4">
        <w:rPr>
          <w:rFonts w:asciiTheme="minorHAnsi" w:hAnsiTheme="minorHAnsi" w:cstheme="minorHAnsi"/>
          <w:sz w:val="22"/>
          <w:szCs w:val="22"/>
          <w:lang w:val="fr-FR" w:eastAsia="fr-FR"/>
        </w:rPr>
        <w:t xml:space="preserve"> ; </w:t>
      </w:r>
    </w:p>
    <w:p w14:paraId="4ADD61F6" w14:textId="77777777" w:rsidR="00CD2281" w:rsidRPr="005718D4" w:rsidRDefault="00CD2281" w:rsidP="00CD2281">
      <w:pPr>
        <w:numPr>
          <w:ilvl w:val="1"/>
          <w:numId w:val="21"/>
        </w:numPr>
        <w:suppressAutoHyphens/>
        <w:overflowPunct w:val="0"/>
        <w:autoSpaceDE w:val="0"/>
        <w:autoSpaceDN w:val="0"/>
        <w:adjustRightInd w:val="0"/>
        <w:spacing w:after="200" w:line="276" w:lineRule="auto"/>
        <w:ind w:left="960" w:hanging="480"/>
        <w:textAlignment w:val="baseline"/>
        <w:rPr>
          <w:rFonts w:asciiTheme="minorHAnsi" w:hAnsiTheme="minorHAnsi" w:cstheme="minorHAnsi"/>
          <w:sz w:val="22"/>
          <w:szCs w:val="22"/>
          <w:lang w:val="fr-FR" w:eastAsia="fr-FR"/>
        </w:rPr>
      </w:pPr>
      <w:r w:rsidRPr="005718D4">
        <w:rPr>
          <w:rFonts w:asciiTheme="minorHAnsi" w:hAnsiTheme="minorHAnsi" w:cstheme="minorHAnsi"/>
          <w:sz w:val="22"/>
          <w:szCs w:val="22"/>
          <w:lang w:val="fr-FR" w:eastAsia="fr-FR"/>
        </w:rPr>
        <w:t>se livrent à des « manœuvres collusoires »les personnes ou entités qui s’entendent afin d’atteindre un objectif illicite, notamment en influant indûment sur l’action d’autres personnes ou entités</w:t>
      </w:r>
      <w:r w:rsidRPr="005718D4">
        <w:rPr>
          <w:rFonts w:asciiTheme="minorHAnsi" w:hAnsiTheme="minorHAnsi" w:cstheme="minorHAnsi"/>
          <w:sz w:val="22"/>
          <w:szCs w:val="22"/>
          <w:vertAlign w:val="superscript"/>
          <w:lang w:val="fr-FR" w:eastAsia="fr-FR"/>
        </w:rPr>
        <w:footnoteReference w:id="3"/>
      </w:r>
      <w:r w:rsidRPr="005718D4">
        <w:rPr>
          <w:rFonts w:asciiTheme="minorHAnsi" w:hAnsiTheme="minorHAnsi" w:cstheme="minorHAnsi"/>
          <w:sz w:val="22"/>
          <w:szCs w:val="22"/>
          <w:lang w:val="fr-FR" w:eastAsia="fr-FR"/>
        </w:rPr>
        <w:t> ;</w:t>
      </w:r>
    </w:p>
    <w:p w14:paraId="2A03E539" w14:textId="77777777" w:rsidR="00CD2281" w:rsidRPr="005718D4" w:rsidRDefault="00CD2281" w:rsidP="00CD2281">
      <w:pPr>
        <w:suppressAutoHyphens/>
        <w:overflowPunct w:val="0"/>
        <w:autoSpaceDE w:val="0"/>
        <w:autoSpaceDN w:val="0"/>
        <w:adjustRightInd w:val="0"/>
        <w:textAlignment w:val="baseline"/>
        <w:rPr>
          <w:rFonts w:asciiTheme="minorHAnsi" w:hAnsiTheme="minorHAnsi" w:cstheme="minorHAnsi"/>
          <w:sz w:val="22"/>
          <w:szCs w:val="22"/>
          <w:lang w:val="fr-FR" w:eastAsia="fr-FR"/>
        </w:rPr>
      </w:pPr>
    </w:p>
    <w:p w14:paraId="727D80CA" w14:textId="77777777" w:rsidR="00CD2281" w:rsidRPr="005718D4" w:rsidRDefault="00CD2281" w:rsidP="00CD2281">
      <w:pPr>
        <w:numPr>
          <w:ilvl w:val="1"/>
          <w:numId w:val="21"/>
        </w:numPr>
        <w:suppressAutoHyphens/>
        <w:overflowPunct w:val="0"/>
        <w:autoSpaceDE w:val="0"/>
        <w:autoSpaceDN w:val="0"/>
        <w:adjustRightInd w:val="0"/>
        <w:spacing w:after="200" w:line="276" w:lineRule="auto"/>
        <w:ind w:left="960" w:hanging="480"/>
        <w:jc w:val="both"/>
        <w:textAlignment w:val="baseline"/>
        <w:rPr>
          <w:rFonts w:asciiTheme="minorHAnsi" w:hAnsiTheme="minorHAnsi" w:cstheme="minorHAnsi"/>
          <w:sz w:val="22"/>
          <w:szCs w:val="22"/>
          <w:lang w:val="fr-FR" w:eastAsia="fr-FR"/>
        </w:rPr>
      </w:pPr>
      <w:r w:rsidRPr="005718D4">
        <w:rPr>
          <w:rFonts w:asciiTheme="minorHAnsi" w:hAnsiTheme="minorHAnsi" w:cstheme="minorHAnsi"/>
          <w:sz w:val="22"/>
          <w:szCs w:val="22"/>
          <w:lang w:val="fr-FR" w:eastAsia="fr-FR"/>
        </w:rPr>
        <w:t>se livre à des « manœuvres coercitives »quiconque nuit ou porte préjudice, ou menace de nuire ou de porter préjudice, directement ou indirectement, à une personne ou à ses biens en vue d’en influer indûment les actions</w:t>
      </w:r>
      <w:r w:rsidRPr="005718D4">
        <w:rPr>
          <w:rFonts w:asciiTheme="minorHAnsi" w:hAnsiTheme="minorHAnsi" w:cstheme="minorHAnsi"/>
          <w:sz w:val="22"/>
          <w:szCs w:val="22"/>
          <w:vertAlign w:val="superscript"/>
          <w:lang w:val="fr-FR" w:eastAsia="fr-FR"/>
        </w:rPr>
        <w:footnoteReference w:id="4"/>
      </w:r>
      <w:r w:rsidRPr="005718D4">
        <w:rPr>
          <w:rFonts w:asciiTheme="minorHAnsi" w:hAnsiTheme="minorHAnsi" w:cstheme="minorHAnsi"/>
          <w:sz w:val="22"/>
          <w:szCs w:val="22"/>
          <w:lang w:val="fr-FR" w:eastAsia="fr-FR"/>
        </w:rPr>
        <w:t> ;</w:t>
      </w:r>
    </w:p>
    <w:p w14:paraId="53C2B15B" w14:textId="77777777" w:rsidR="00CD2281" w:rsidRPr="005718D4" w:rsidRDefault="00CD2281" w:rsidP="00CD2281">
      <w:pPr>
        <w:suppressAutoHyphens/>
        <w:overflowPunct w:val="0"/>
        <w:autoSpaceDE w:val="0"/>
        <w:autoSpaceDN w:val="0"/>
        <w:adjustRightInd w:val="0"/>
        <w:jc w:val="both"/>
        <w:textAlignment w:val="baseline"/>
        <w:rPr>
          <w:rFonts w:asciiTheme="minorHAnsi" w:hAnsiTheme="minorHAnsi" w:cstheme="minorHAnsi"/>
          <w:sz w:val="22"/>
          <w:szCs w:val="22"/>
          <w:lang w:val="fr-FR" w:eastAsia="fr-FR"/>
        </w:rPr>
      </w:pPr>
    </w:p>
    <w:p w14:paraId="6F1AC028" w14:textId="77777777" w:rsidR="00CD2281" w:rsidRPr="005718D4" w:rsidRDefault="00CD2281" w:rsidP="00CD2281">
      <w:pPr>
        <w:numPr>
          <w:ilvl w:val="1"/>
          <w:numId w:val="21"/>
        </w:numPr>
        <w:suppressAutoHyphens/>
        <w:overflowPunct w:val="0"/>
        <w:autoSpaceDE w:val="0"/>
        <w:autoSpaceDN w:val="0"/>
        <w:adjustRightInd w:val="0"/>
        <w:spacing w:after="200" w:line="276" w:lineRule="auto"/>
        <w:ind w:left="960" w:hanging="480"/>
        <w:jc w:val="both"/>
        <w:textAlignment w:val="baseline"/>
        <w:rPr>
          <w:rFonts w:asciiTheme="minorHAnsi" w:hAnsiTheme="minorHAnsi" w:cstheme="minorHAnsi"/>
          <w:sz w:val="22"/>
          <w:szCs w:val="22"/>
          <w:lang w:val="fr-FR" w:eastAsia="fr-FR"/>
        </w:rPr>
      </w:pPr>
      <w:r w:rsidRPr="005718D4">
        <w:rPr>
          <w:rFonts w:asciiTheme="minorHAnsi" w:hAnsiTheme="minorHAnsi" w:cstheme="minorHAnsi"/>
          <w:sz w:val="22"/>
          <w:szCs w:val="22"/>
          <w:lang w:val="fr-FR" w:eastAsia="fr-FR"/>
        </w:rPr>
        <w:lastRenderedPageBreak/>
        <w:t>se livre à des « manœuvres obstructives »</w:t>
      </w:r>
    </w:p>
    <w:p w14:paraId="704A9F09" w14:textId="77777777" w:rsidR="00CD2281" w:rsidRPr="005718D4" w:rsidRDefault="00CD2281" w:rsidP="00CD2281">
      <w:pPr>
        <w:suppressAutoHyphens/>
        <w:overflowPunct w:val="0"/>
        <w:autoSpaceDE w:val="0"/>
        <w:autoSpaceDN w:val="0"/>
        <w:adjustRightInd w:val="0"/>
        <w:jc w:val="both"/>
        <w:textAlignment w:val="baseline"/>
        <w:rPr>
          <w:rFonts w:asciiTheme="minorHAnsi" w:hAnsiTheme="minorHAnsi" w:cstheme="minorHAnsi"/>
          <w:sz w:val="22"/>
          <w:szCs w:val="22"/>
          <w:lang w:val="fr-FR" w:eastAsia="fr-FR"/>
        </w:rPr>
      </w:pPr>
    </w:p>
    <w:p w14:paraId="79C41AAC" w14:textId="77777777" w:rsidR="00CD2281" w:rsidRPr="005718D4" w:rsidRDefault="00CD2281" w:rsidP="00CD2281">
      <w:pPr>
        <w:numPr>
          <w:ilvl w:val="2"/>
          <w:numId w:val="21"/>
        </w:numPr>
        <w:suppressAutoHyphens/>
        <w:overflowPunct w:val="0"/>
        <w:autoSpaceDE w:val="0"/>
        <w:autoSpaceDN w:val="0"/>
        <w:adjustRightInd w:val="0"/>
        <w:spacing w:after="200" w:line="276" w:lineRule="auto"/>
        <w:ind w:left="1440" w:hanging="480"/>
        <w:jc w:val="both"/>
        <w:textAlignment w:val="baseline"/>
        <w:rPr>
          <w:rFonts w:asciiTheme="minorHAnsi" w:hAnsiTheme="minorHAnsi" w:cstheme="minorHAnsi"/>
          <w:sz w:val="22"/>
          <w:szCs w:val="22"/>
          <w:lang w:val="fr-FR" w:eastAsia="fr-FR"/>
        </w:rPr>
      </w:pPr>
      <w:r w:rsidRPr="005718D4">
        <w:rPr>
          <w:rFonts w:asciiTheme="minorHAnsi" w:hAnsiTheme="minorHAnsi" w:cstheme="minorHAnsi"/>
          <w:sz w:val="22"/>
          <w:szCs w:val="22"/>
          <w:lang w:val="fr-FR" w:eastAsia="fr-FR"/>
        </w:rPr>
        <w:t>quiconque détruit, falsifie, altère ou dissimule délibérément les preuves sur lesquelles se fonde une enquête de la Banque en matière de corruption ou de manœuvres frauduleuses, coercitives ou collusoires, ou fait de fausses déclarations à ses enquêteurs destinées à entraver son enquête ; ou bien menace, harcèle ou intimide quelqu’un aux fins de l’empêcher de faire part d’ informations relatives à cette enquête, ou bien de poursuivre l’enquête ; ou</w:t>
      </w:r>
    </w:p>
    <w:p w14:paraId="734022CE" w14:textId="77777777" w:rsidR="00CD2281" w:rsidRPr="005718D4" w:rsidRDefault="00CD2281" w:rsidP="00CD2281">
      <w:pPr>
        <w:tabs>
          <w:tab w:val="num" w:pos="1440"/>
        </w:tabs>
        <w:suppressAutoHyphens/>
        <w:overflowPunct w:val="0"/>
        <w:autoSpaceDE w:val="0"/>
        <w:autoSpaceDN w:val="0"/>
        <w:adjustRightInd w:val="0"/>
        <w:ind w:left="1440" w:hanging="480"/>
        <w:jc w:val="both"/>
        <w:textAlignment w:val="baseline"/>
        <w:rPr>
          <w:rFonts w:asciiTheme="minorHAnsi" w:hAnsiTheme="minorHAnsi" w:cstheme="minorHAnsi"/>
          <w:sz w:val="22"/>
          <w:szCs w:val="22"/>
          <w:lang w:val="fr-FR" w:eastAsia="fr-FR"/>
        </w:rPr>
      </w:pPr>
    </w:p>
    <w:p w14:paraId="7E842F72" w14:textId="77777777" w:rsidR="00CD2281" w:rsidRPr="005718D4" w:rsidRDefault="00CD2281" w:rsidP="00CD2281">
      <w:pPr>
        <w:numPr>
          <w:ilvl w:val="0"/>
          <w:numId w:val="22"/>
        </w:numPr>
        <w:suppressAutoHyphens/>
        <w:overflowPunct w:val="0"/>
        <w:autoSpaceDE w:val="0"/>
        <w:autoSpaceDN w:val="0"/>
        <w:adjustRightInd w:val="0"/>
        <w:spacing w:after="200" w:line="276" w:lineRule="auto"/>
        <w:jc w:val="both"/>
        <w:textAlignment w:val="baseline"/>
        <w:rPr>
          <w:rFonts w:asciiTheme="minorHAnsi" w:hAnsiTheme="minorHAnsi" w:cstheme="minorHAnsi"/>
          <w:sz w:val="22"/>
          <w:szCs w:val="22"/>
          <w:lang w:val="fr-FR" w:eastAsia="fr-FR"/>
        </w:rPr>
      </w:pPr>
      <w:r w:rsidRPr="005718D4">
        <w:rPr>
          <w:rFonts w:asciiTheme="minorHAnsi" w:hAnsiTheme="minorHAnsi" w:cstheme="minorHAnsi"/>
          <w:sz w:val="22"/>
          <w:szCs w:val="22"/>
          <w:lang w:val="fr-FR" w:eastAsia="fr-FR"/>
        </w:rPr>
        <w:t xml:space="preserve">celui qui entrave délibérément l’exercice par la Banque de son droit d’examen ; </w:t>
      </w:r>
    </w:p>
    <w:p w14:paraId="301D16EF" w14:textId="77777777" w:rsidR="00CD2281" w:rsidRPr="005718D4" w:rsidRDefault="00CD2281" w:rsidP="00CD2281">
      <w:pPr>
        <w:suppressAutoHyphens/>
        <w:overflowPunct w:val="0"/>
        <w:autoSpaceDE w:val="0"/>
        <w:autoSpaceDN w:val="0"/>
        <w:adjustRightInd w:val="0"/>
        <w:jc w:val="both"/>
        <w:textAlignment w:val="baseline"/>
        <w:rPr>
          <w:rFonts w:asciiTheme="minorHAnsi" w:hAnsiTheme="minorHAnsi" w:cstheme="minorHAnsi"/>
          <w:sz w:val="22"/>
          <w:szCs w:val="22"/>
          <w:lang w:val="fr-FR" w:eastAsia="fr-FR"/>
        </w:rPr>
      </w:pPr>
    </w:p>
    <w:p w14:paraId="6705A5AA" w14:textId="77777777" w:rsidR="00CD2281" w:rsidRPr="005718D4" w:rsidRDefault="00CD2281" w:rsidP="00CD2281">
      <w:pPr>
        <w:numPr>
          <w:ilvl w:val="2"/>
          <w:numId w:val="20"/>
        </w:numPr>
        <w:tabs>
          <w:tab w:val="num" w:pos="480"/>
        </w:tabs>
        <w:suppressAutoHyphens/>
        <w:overflowPunct w:val="0"/>
        <w:autoSpaceDE w:val="0"/>
        <w:autoSpaceDN w:val="0"/>
        <w:adjustRightInd w:val="0"/>
        <w:spacing w:after="200" w:line="276" w:lineRule="auto"/>
        <w:ind w:left="480" w:hanging="480"/>
        <w:jc w:val="both"/>
        <w:textAlignment w:val="baseline"/>
        <w:rPr>
          <w:rFonts w:asciiTheme="minorHAnsi" w:hAnsiTheme="minorHAnsi" w:cstheme="minorHAnsi"/>
          <w:sz w:val="22"/>
          <w:szCs w:val="22"/>
          <w:lang w:val="fr-FR" w:eastAsia="fr-FR"/>
        </w:rPr>
      </w:pPr>
      <w:r w:rsidRPr="005718D4">
        <w:rPr>
          <w:rFonts w:asciiTheme="minorHAnsi" w:hAnsiTheme="minorHAnsi" w:cstheme="minorHAnsi"/>
          <w:sz w:val="22"/>
          <w:szCs w:val="22"/>
          <w:lang w:val="fr-FR" w:eastAsia="fr-FR"/>
        </w:rPr>
        <w:t>Rejettera la proposition d’attribution du marché si elle établit que le consultant auquel il est recommandé d’attribuer le marché, ou tout membre de son personnel, de ses représentants ou de ses fournisseurs, de ses prestataires de services, ou de ses sous-traitants, et/ou de leurs employés, est coupable, directement ou indirectement, de corruption ou s’est livré à des manœuvres frauduleuses, collusoires, coercitives ou obstructives en vue de l’obtention de ce marché ;</w:t>
      </w:r>
    </w:p>
    <w:p w14:paraId="5EB1589A" w14:textId="77777777" w:rsidR="00CD2281" w:rsidRPr="005718D4" w:rsidRDefault="00CD2281" w:rsidP="00CD2281">
      <w:pPr>
        <w:suppressAutoHyphens/>
        <w:overflowPunct w:val="0"/>
        <w:autoSpaceDE w:val="0"/>
        <w:autoSpaceDN w:val="0"/>
        <w:adjustRightInd w:val="0"/>
        <w:jc w:val="both"/>
        <w:textAlignment w:val="baseline"/>
        <w:rPr>
          <w:rFonts w:asciiTheme="minorHAnsi" w:hAnsiTheme="minorHAnsi" w:cstheme="minorHAnsi"/>
          <w:sz w:val="22"/>
          <w:szCs w:val="22"/>
          <w:lang w:val="fr-FR" w:eastAsia="fr-FR"/>
        </w:rPr>
      </w:pPr>
    </w:p>
    <w:p w14:paraId="54A0F0B9" w14:textId="77777777" w:rsidR="00CD2281" w:rsidRPr="005718D4" w:rsidRDefault="00CD2281" w:rsidP="00CD2281">
      <w:pPr>
        <w:numPr>
          <w:ilvl w:val="2"/>
          <w:numId w:val="20"/>
        </w:numPr>
        <w:tabs>
          <w:tab w:val="num" w:pos="480"/>
        </w:tabs>
        <w:suppressAutoHyphens/>
        <w:overflowPunct w:val="0"/>
        <w:autoSpaceDE w:val="0"/>
        <w:autoSpaceDN w:val="0"/>
        <w:adjustRightInd w:val="0"/>
        <w:spacing w:after="200" w:line="276" w:lineRule="auto"/>
        <w:ind w:left="480" w:hanging="480"/>
        <w:jc w:val="both"/>
        <w:textAlignment w:val="baseline"/>
        <w:rPr>
          <w:rFonts w:asciiTheme="minorHAnsi" w:hAnsiTheme="minorHAnsi" w:cstheme="minorHAnsi"/>
          <w:sz w:val="22"/>
          <w:szCs w:val="22"/>
          <w:lang w:val="fr-FR" w:eastAsia="fr-FR"/>
        </w:rPr>
      </w:pPr>
      <w:r w:rsidRPr="005718D4">
        <w:rPr>
          <w:rFonts w:asciiTheme="minorHAnsi" w:hAnsiTheme="minorHAnsi" w:cstheme="minorHAnsi"/>
          <w:sz w:val="22"/>
          <w:szCs w:val="22"/>
          <w:lang w:val="fr-FR" w:eastAsia="fr-FR"/>
        </w:rPr>
        <w:t>déclarera la passation du marché non conforme et annulera la fraction du prêt allouée à un marché si elle détermine, à un moment quelconque, que les représentants de l’Emprunteur ou d’un bénéficiaire des produits du prêt s’est livré à la corruption, à des manœuvres frauduleuses, collusoires, coercitives ou obstructives pendant la procédure de passation ou l’exécution du marché en question sans que l’Emprunteur ait pris, en temps voulu et à la satisfaction de la Banque, les mesures nécessaires pour remédier à cette situation, y compris en manquant à son devoir d’information de la Banque lorsqu’il a eu connaissance desdites pratiques ;</w:t>
      </w:r>
    </w:p>
    <w:p w14:paraId="3D3FCECF" w14:textId="77777777" w:rsidR="00CD2281" w:rsidRPr="005718D4" w:rsidRDefault="00CD2281" w:rsidP="00CD2281">
      <w:pPr>
        <w:numPr>
          <w:ilvl w:val="2"/>
          <w:numId w:val="20"/>
        </w:numPr>
        <w:tabs>
          <w:tab w:val="num" w:pos="480"/>
        </w:tabs>
        <w:suppressAutoHyphens/>
        <w:overflowPunct w:val="0"/>
        <w:autoSpaceDE w:val="0"/>
        <w:autoSpaceDN w:val="0"/>
        <w:adjustRightInd w:val="0"/>
        <w:spacing w:after="200" w:line="276" w:lineRule="auto"/>
        <w:ind w:left="480" w:hanging="480"/>
        <w:jc w:val="both"/>
        <w:textAlignment w:val="baseline"/>
        <w:rPr>
          <w:rFonts w:asciiTheme="minorHAnsi" w:hAnsiTheme="minorHAnsi" w:cstheme="minorHAnsi"/>
          <w:sz w:val="22"/>
          <w:szCs w:val="22"/>
          <w:lang w:val="fr-FR" w:eastAsia="fr-FR"/>
        </w:rPr>
      </w:pPr>
      <w:r w:rsidRPr="005718D4">
        <w:rPr>
          <w:rFonts w:asciiTheme="minorHAnsi" w:hAnsiTheme="minorHAnsi" w:cstheme="minorHAnsi"/>
          <w:sz w:val="22"/>
          <w:szCs w:val="22"/>
          <w:lang w:val="fr-FR" w:eastAsia="fr-FR"/>
        </w:rPr>
        <w:t>sanctionnera à tout moment une entreprise ou un individu, en application des procédures de sanctions de la Banque</w:t>
      </w:r>
      <w:r w:rsidRPr="005718D4">
        <w:rPr>
          <w:rFonts w:asciiTheme="minorHAnsi" w:hAnsiTheme="minorHAnsi" w:cstheme="minorHAnsi"/>
          <w:sz w:val="22"/>
          <w:szCs w:val="22"/>
          <w:vertAlign w:val="superscript"/>
          <w:lang w:val="fr-FR" w:eastAsia="fr-FR"/>
        </w:rPr>
        <w:footnoteReference w:id="5"/>
      </w:r>
      <w:r w:rsidRPr="005718D4">
        <w:rPr>
          <w:rFonts w:asciiTheme="minorHAnsi" w:hAnsiTheme="minorHAnsi" w:cstheme="minorHAnsi"/>
          <w:sz w:val="22"/>
          <w:szCs w:val="22"/>
          <w:lang w:val="fr-FR" w:eastAsia="fr-FR"/>
        </w:rPr>
        <w:t>, y compris en déclarant publiquement cette entreprise ou cet individu exclu indéfiniment ou pour une période déterminée : i) de toute attribution de marché financé par la Banque : et ii) de la possibilité d’être retenu comme sous-traitant, consultant, fournisseur, ou prestataire de service</w:t>
      </w:r>
      <w:r w:rsidRPr="005718D4">
        <w:rPr>
          <w:rFonts w:asciiTheme="minorHAnsi" w:hAnsiTheme="minorHAnsi" w:cstheme="minorHAnsi"/>
          <w:sz w:val="22"/>
          <w:szCs w:val="22"/>
          <w:vertAlign w:val="superscript"/>
          <w:lang w:val="fr-FR" w:eastAsia="fr-FR"/>
        </w:rPr>
        <w:footnoteReference w:id="6"/>
      </w:r>
      <w:r w:rsidRPr="005718D4">
        <w:rPr>
          <w:rFonts w:asciiTheme="minorHAnsi" w:hAnsiTheme="minorHAnsi" w:cstheme="minorHAnsi"/>
          <w:sz w:val="22"/>
          <w:szCs w:val="22"/>
          <w:lang w:val="fr-FR" w:eastAsia="fr-FR"/>
        </w:rPr>
        <w:t xml:space="preserve"> au profit d’une entreprise par ailleurs susceptible de se voir attribuer un contrat financé par la Banque ; et</w:t>
      </w:r>
    </w:p>
    <w:p w14:paraId="53EDC0BA" w14:textId="77777777" w:rsidR="00CD2281" w:rsidRPr="005718D4" w:rsidRDefault="00CD2281" w:rsidP="00CD2281">
      <w:pPr>
        <w:suppressAutoHyphens/>
        <w:overflowPunct w:val="0"/>
        <w:autoSpaceDE w:val="0"/>
        <w:autoSpaceDN w:val="0"/>
        <w:adjustRightInd w:val="0"/>
        <w:ind w:left="480"/>
        <w:jc w:val="both"/>
        <w:textAlignment w:val="baseline"/>
        <w:rPr>
          <w:rFonts w:asciiTheme="minorHAnsi" w:hAnsiTheme="minorHAnsi" w:cstheme="minorHAnsi"/>
          <w:sz w:val="22"/>
          <w:szCs w:val="22"/>
          <w:lang w:val="fr-FR" w:eastAsia="fr-FR"/>
        </w:rPr>
      </w:pPr>
    </w:p>
    <w:p w14:paraId="63077E21" w14:textId="77777777" w:rsidR="00CD2281" w:rsidRPr="005718D4" w:rsidRDefault="00CD2281" w:rsidP="00CD2281">
      <w:pPr>
        <w:numPr>
          <w:ilvl w:val="2"/>
          <w:numId w:val="20"/>
        </w:numPr>
        <w:tabs>
          <w:tab w:val="num" w:pos="480"/>
        </w:tabs>
        <w:suppressAutoHyphens/>
        <w:overflowPunct w:val="0"/>
        <w:autoSpaceDE w:val="0"/>
        <w:autoSpaceDN w:val="0"/>
        <w:adjustRightInd w:val="0"/>
        <w:spacing w:after="200" w:line="276" w:lineRule="auto"/>
        <w:ind w:left="480" w:hanging="480"/>
        <w:jc w:val="both"/>
        <w:textAlignment w:val="baseline"/>
        <w:rPr>
          <w:rFonts w:asciiTheme="minorHAnsi" w:hAnsiTheme="minorHAnsi" w:cstheme="minorHAnsi"/>
          <w:sz w:val="22"/>
          <w:szCs w:val="22"/>
          <w:lang w:val="fr-FR" w:eastAsia="fr-FR"/>
        </w:rPr>
      </w:pPr>
      <w:r w:rsidRPr="005718D4">
        <w:rPr>
          <w:rFonts w:asciiTheme="minorHAnsi" w:hAnsiTheme="minorHAnsi" w:cstheme="minorHAnsi"/>
          <w:sz w:val="22"/>
          <w:szCs w:val="22"/>
          <w:lang w:val="fr-FR" w:eastAsia="fr-FR"/>
        </w:rPr>
        <w:t>exigera que la Demande de Propositions, le dossier d’appel d’offres et les marchés financés par la Banque contiennent une disposition requérant des consultants, soumissionnaires, fournisseurs, entrepreneurs et leurs sous-traitants, représentants, personnel, prestataires de services ou fournisseurs, qu’ils autorisent la Banque à examiner les comptes, pièces comptables, relevés et autres documents relatifs à la soumission des propositions et à l’exécution du marché et à les soumettre pour vérification à des auditeurs désignés par la Banque.</w:t>
      </w:r>
    </w:p>
    <w:p w14:paraId="317E9AAC" w14:textId="77777777" w:rsidR="00CD2281" w:rsidRPr="005718D4" w:rsidRDefault="00CD2281" w:rsidP="00CD2281">
      <w:pPr>
        <w:spacing w:line="293" w:lineRule="atLeast"/>
        <w:textAlignment w:val="baseline"/>
        <w:rPr>
          <w:rFonts w:asciiTheme="minorHAnsi" w:hAnsiTheme="minorHAnsi" w:cstheme="minorHAnsi"/>
          <w:color w:val="666666"/>
          <w:sz w:val="22"/>
          <w:szCs w:val="22"/>
          <w:lang w:val="fr-FR" w:eastAsia="fr-FR"/>
        </w:rPr>
      </w:pPr>
    </w:p>
    <w:p w14:paraId="1F57BE64" w14:textId="77777777" w:rsidR="00CD2281" w:rsidRPr="005718D4" w:rsidRDefault="00CD2281" w:rsidP="006D55C0">
      <w:pPr>
        <w:tabs>
          <w:tab w:val="left" w:pos="1500"/>
        </w:tabs>
        <w:rPr>
          <w:rFonts w:asciiTheme="minorHAnsi" w:hAnsiTheme="minorHAnsi" w:cstheme="minorHAnsi"/>
          <w:sz w:val="22"/>
          <w:szCs w:val="22"/>
          <w:lang w:val="fr-CD"/>
        </w:rPr>
      </w:pPr>
    </w:p>
    <w:sectPr w:rsidR="00CD2281" w:rsidRPr="005718D4">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4C31B" w14:textId="77777777" w:rsidR="006958B0" w:rsidRDefault="006958B0" w:rsidP="00B71946">
      <w:r>
        <w:separator/>
      </w:r>
    </w:p>
  </w:endnote>
  <w:endnote w:type="continuationSeparator" w:id="0">
    <w:p w14:paraId="774ADEC4" w14:textId="77777777" w:rsidR="006958B0" w:rsidRDefault="006958B0" w:rsidP="00B7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815174"/>
      <w:docPartObj>
        <w:docPartGallery w:val="Page Numbers (Bottom of Page)"/>
        <w:docPartUnique/>
      </w:docPartObj>
    </w:sdtPr>
    <w:sdtEndPr/>
    <w:sdtContent>
      <w:p w14:paraId="3DFAB632" w14:textId="19E74E4A" w:rsidR="00DF4A05" w:rsidRDefault="00DF4A05">
        <w:pPr>
          <w:pStyle w:val="Pieddepage"/>
          <w:jc w:val="right"/>
        </w:pPr>
        <w:r>
          <w:fldChar w:fldCharType="begin"/>
        </w:r>
        <w:r>
          <w:instrText>PAGE   \* MERGEFORMAT</w:instrText>
        </w:r>
        <w:r>
          <w:fldChar w:fldCharType="separate"/>
        </w:r>
        <w:r w:rsidR="00B02AA8" w:rsidRPr="00B02AA8">
          <w:rPr>
            <w:noProof/>
            <w:lang w:val="fr-FR"/>
          </w:rPr>
          <w:t>2</w:t>
        </w:r>
        <w:r>
          <w:fldChar w:fldCharType="end"/>
        </w:r>
      </w:p>
    </w:sdtContent>
  </w:sdt>
  <w:p w14:paraId="2F3A18EC" w14:textId="77777777" w:rsidR="00B71946" w:rsidRDefault="00B7194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323CC" w14:textId="77777777" w:rsidR="006958B0" w:rsidRDefault="006958B0" w:rsidP="00B71946">
      <w:r>
        <w:separator/>
      </w:r>
    </w:p>
  </w:footnote>
  <w:footnote w:type="continuationSeparator" w:id="0">
    <w:p w14:paraId="5E28D415" w14:textId="77777777" w:rsidR="006958B0" w:rsidRDefault="006958B0" w:rsidP="00B71946">
      <w:r>
        <w:continuationSeparator/>
      </w:r>
    </w:p>
  </w:footnote>
  <w:footnote w:id="1">
    <w:p w14:paraId="6100746D" w14:textId="77777777" w:rsidR="00CD2281" w:rsidRPr="005718D4" w:rsidRDefault="00CD2281" w:rsidP="00CD2281">
      <w:pPr>
        <w:pStyle w:val="Notedebasdepage"/>
        <w:tabs>
          <w:tab w:val="left" w:pos="284"/>
        </w:tabs>
        <w:ind w:left="284" w:hanging="284"/>
        <w:jc w:val="both"/>
        <w:rPr>
          <w:lang w:val="fr-FR"/>
        </w:rPr>
      </w:pPr>
      <w:r w:rsidRPr="00082CB0">
        <w:rPr>
          <w:rStyle w:val="Appelnotedebasdep"/>
          <w:rFonts w:eastAsia="Calibri"/>
        </w:rPr>
        <w:footnoteRef/>
      </w:r>
      <w:r w:rsidRPr="005718D4">
        <w:rPr>
          <w:lang w:val="fr-FR"/>
        </w:rPr>
        <w:t xml:space="preserve"> </w:t>
      </w:r>
      <w:r w:rsidRPr="005718D4">
        <w:rPr>
          <w:lang w:val="fr-FR"/>
        </w:rPr>
        <w:tab/>
        <w:t>Aux fins de cet alinéa, le terme « une autre personne ou entité » fait référence à un agent public ou une autorité publique agissant dans le cadre de l’attribution ou de l’exécution d’un marché public. Dans ce contexte, ce terme inclut le personnel de la Banque et les employés d’autres organisations qui prennent des décisions relatives à la passation de marchés ou les examinent.</w:t>
      </w:r>
    </w:p>
  </w:footnote>
  <w:footnote w:id="2">
    <w:p w14:paraId="697F5F6C" w14:textId="77777777" w:rsidR="00CD2281" w:rsidRPr="005718D4" w:rsidRDefault="00CD2281" w:rsidP="00CD2281">
      <w:pPr>
        <w:pStyle w:val="Notedebasdepage"/>
        <w:tabs>
          <w:tab w:val="left" w:pos="284"/>
        </w:tabs>
        <w:ind w:left="284" w:hanging="284"/>
        <w:jc w:val="both"/>
        <w:rPr>
          <w:lang w:val="fr-FR"/>
        </w:rPr>
      </w:pPr>
      <w:r w:rsidRPr="00082CB0">
        <w:rPr>
          <w:rStyle w:val="Appelnotedebasdep"/>
          <w:rFonts w:eastAsia="Calibri"/>
        </w:rPr>
        <w:footnoteRef/>
      </w:r>
      <w:r w:rsidRPr="005718D4">
        <w:rPr>
          <w:lang w:val="fr-FR"/>
        </w:rPr>
        <w:t xml:space="preserve"> </w:t>
      </w:r>
      <w:r w:rsidRPr="005718D4">
        <w:rPr>
          <w:lang w:val="fr-FR"/>
        </w:rPr>
        <w:tab/>
      </w:r>
      <w:r w:rsidRPr="005718D4">
        <w:rPr>
          <w:lang w:val="fr-FR" w:eastAsia="fr-FR"/>
        </w:rPr>
        <w:t>Aux fins de cet alinéa, le terme « personne ou entité » désigne tout participant ou agent public ; les termes « avantage » et « obligation » se référent au processus d’attribution ou d’exécution ; et « agit ou s’abstient d’agir » fait référence à tout acte ou omission visant à influencer l’attribution ou l’exécution du contrat</w:t>
      </w:r>
      <w:r w:rsidRPr="005718D4">
        <w:rPr>
          <w:lang w:val="fr-FR"/>
        </w:rPr>
        <w:t>.</w:t>
      </w:r>
    </w:p>
  </w:footnote>
  <w:footnote w:id="3">
    <w:p w14:paraId="567CACAB" w14:textId="77777777" w:rsidR="00CD2281" w:rsidRPr="005718D4" w:rsidRDefault="00CD2281" w:rsidP="00CD2281">
      <w:pPr>
        <w:pStyle w:val="Notedebasdepage"/>
        <w:tabs>
          <w:tab w:val="left" w:pos="284"/>
        </w:tabs>
        <w:ind w:left="284" w:hanging="284"/>
        <w:jc w:val="both"/>
        <w:rPr>
          <w:lang w:val="fr-FR"/>
        </w:rPr>
      </w:pPr>
      <w:r w:rsidRPr="00082CB0">
        <w:rPr>
          <w:rStyle w:val="Appelnotedebasdep"/>
          <w:rFonts w:eastAsia="Calibri"/>
        </w:rPr>
        <w:footnoteRef/>
      </w:r>
      <w:r w:rsidRPr="005718D4">
        <w:rPr>
          <w:lang w:val="fr-FR"/>
        </w:rPr>
        <w:t xml:space="preserve"> </w:t>
      </w:r>
      <w:r w:rsidRPr="005718D4">
        <w:rPr>
          <w:lang w:val="fr-FR"/>
        </w:rPr>
        <w:tab/>
      </w:r>
      <w:r w:rsidRPr="005718D4">
        <w:rPr>
          <w:lang w:val="fr-FR" w:eastAsia="fr-FR"/>
        </w:rPr>
        <w:t>Aux fins de cet alinéa, le terme « personne ou entité » fait référence à tout participant à la procédure de passation (y compris les agents publics) qui entreprend par lui-même ou par l’intermédiaire d’une autre personne ou d’une autre entité qui ne participe pas au processus de sélection ou d’attribution, de simuler une procédure concurrentielle ou d’établir le montant des offres à un niveau artificiel ou non compétitif, ou qui entretient une relation de connivence avec les autres participants ou tout autre manquement.</w:t>
      </w:r>
      <w:r w:rsidRPr="005718D4">
        <w:rPr>
          <w:lang w:val="fr-FR"/>
        </w:rPr>
        <w:t>.</w:t>
      </w:r>
    </w:p>
  </w:footnote>
  <w:footnote w:id="4">
    <w:p w14:paraId="07F8EE52" w14:textId="77777777" w:rsidR="00CD2281" w:rsidRPr="005718D4" w:rsidRDefault="00CD2281" w:rsidP="00CD2281">
      <w:pPr>
        <w:pStyle w:val="Notedebasdepage"/>
        <w:tabs>
          <w:tab w:val="left" w:pos="284"/>
        </w:tabs>
        <w:ind w:left="284" w:hanging="284"/>
        <w:jc w:val="both"/>
        <w:rPr>
          <w:lang w:val="fr-FR"/>
        </w:rPr>
      </w:pPr>
      <w:r w:rsidRPr="00082CB0">
        <w:rPr>
          <w:rStyle w:val="Appelnotedebasdep"/>
          <w:rFonts w:eastAsia="Calibri"/>
        </w:rPr>
        <w:footnoteRef/>
      </w:r>
      <w:r w:rsidRPr="005718D4">
        <w:rPr>
          <w:lang w:val="fr-FR"/>
        </w:rPr>
        <w:t xml:space="preserve"> </w:t>
      </w:r>
      <w:r w:rsidRPr="005718D4">
        <w:rPr>
          <w:lang w:val="fr-FR"/>
        </w:rPr>
        <w:tab/>
      </w:r>
      <w:r w:rsidRPr="005718D4">
        <w:rPr>
          <w:lang w:val="fr-FR" w:eastAsia="fr-FR"/>
        </w:rPr>
        <w:t>Aux fins de cet alinéa, le terme « personne » fait référence à tout participant lors d’une procédure d’attribution ou lors de l’exécution d’un contrat</w:t>
      </w:r>
      <w:r w:rsidRPr="005718D4">
        <w:rPr>
          <w:lang w:val="fr-FR"/>
        </w:rPr>
        <w:t>.</w:t>
      </w:r>
    </w:p>
  </w:footnote>
  <w:footnote w:id="5">
    <w:p w14:paraId="73DB7D3A" w14:textId="77777777" w:rsidR="00CD2281" w:rsidRPr="005718D4" w:rsidRDefault="00CD2281" w:rsidP="00CD2281">
      <w:pPr>
        <w:pStyle w:val="Notedebasdepage"/>
        <w:tabs>
          <w:tab w:val="left" w:pos="284"/>
        </w:tabs>
        <w:ind w:left="284" w:hanging="284"/>
        <w:jc w:val="both"/>
        <w:rPr>
          <w:lang w:val="fr-FR"/>
        </w:rPr>
      </w:pPr>
      <w:r w:rsidRPr="00082CB0">
        <w:rPr>
          <w:rStyle w:val="Appelnotedebasdep"/>
          <w:rFonts w:eastAsia="Calibri"/>
        </w:rPr>
        <w:footnoteRef/>
      </w:r>
      <w:r w:rsidRPr="005718D4">
        <w:rPr>
          <w:lang w:val="fr-FR"/>
        </w:rPr>
        <w:t xml:space="preserve"> </w:t>
      </w:r>
      <w:r w:rsidRPr="005718D4">
        <w:rPr>
          <w:lang w:val="fr-FR"/>
        </w:rPr>
        <w:tab/>
        <w:t>Une entreprise ou un individu peut être exclu de l'attribution de marchés financés par la Banque à la suite : (i) de l’achèvement des procédures de sanctions de la Banque, y compris entre autres, de l’exclusion croisée convenue avec les autres Institutions Financières Internationales dont les Banques Multilatérales de Développement et de l’application des procédures de sanctions pour fraude et corruption relatives à la passation des marchés du Groupe de la Banque Mondiale ; et (ii) d’une suspension temporaire ou d’une suspension temporaire rapide liée à des procédures de sanctions en cours. Voir la note de bas de page 14 et le paragraphe 8 de l’Annexe 1 des présentes Directives.</w:t>
      </w:r>
    </w:p>
  </w:footnote>
  <w:footnote w:id="6">
    <w:p w14:paraId="4660182D" w14:textId="77777777" w:rsidR="00CD2281" w:rsidRPr="005718D4" w:rsidRDefault="00CD2281" w:rsidP="00CD2281">
      <w:pPr>
        <w:tabs>
          <w:tab w:val="left" w:pos="284"/>
        </w:tabs>
        <w:ind w:left="284" w:hanging="284"/>
        <w:jc w:val="both"/>
        <w:rPr>
          <w:sz w:val="20"/>
          <w:lang w:val="fr-FR"/>
        </w:rPr>
      </w:pPr>
      <w:r w:rsidRPr="00082CB0">
        <w:rPr>
          <w:rStyle w:val="Appelnotedebasdep"/>
          <w:sz w:val="20"/>
        </w:rPr>
        <w:footnoteRef/>
      </w:r>
      <w:r w:rsidRPr="005718D4">
        <w:rPr>
          <w:sz w:val="20"/>
          <w:lang w:val="fr-FR"/>
        </w:rPr>
        <w:t xml:space="preserve"> </w:t>
      </w:r>
      <w:r w:rsidRPr="005718D4">
        <w:rPr>
          <w:sz w:val="20"/>
          <w:lang w:val="fr-FR"/>
        </w:rPr>
        <w:tab/>
      </w:r>
      <w:r w:rsidRPr="005718D4">
        <w:rPr>
          <w:sz w:val="20"/>
          <w:lang w:val="fr-FR" w:eastAsia="fr-FR"/>
        </w:rPr>
        <w:t>Un sous-traitant, fournisseur ou prestataire de services retenu est celui qui a été soit: (i) inclus par le soumissionnaire dans sa proposition en raison de l’expérience particulière et essentielle et du savoir-faire qui ont été pris en compte dans l’évaluation technique de la proposition du consultant ; ou (ii) désigné par l’Emprunteur.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D8A"/>
    <w:multiLevelType w:val="hybridMultilevel"/>
    <w:tmpl w:val="99BC267E"/>
    <w:lvl w:ilvl="0" w:tplc="213A06A4">
      <w:start w:val="2"/>
      <w:numFmt w:val="upperRoman"/>
      <w:lvlText w:val="%1."/>
      <w:lvlJc w:val="right"/>
      <w:pPr>
        <w:ind w:left="720" w:hanging="360"/>
      </w:pPr>
      <w:rPr>
        <w:rFonts w:hint="default"/>
        <w:b/>
      </w:rPr>
    </w:lvl>
    <w:lvl w:ilvl="1" w:tplc="2240670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20D2"/>
    <w:multiLevelType w:val="hybridMultilevel"/>
    <w:tmpl w:val="CEAACED8"/>
    <w:lvl w:ilvl="0" w:tplc="2A9C1D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7F0C4B"/>
    <w:multiLevelType w:val="hybridMultilevel"/>
    <w:tmpl w:val="95626F46"/>
    <w:lvl w:ilvl="0" w:tplc="040C0001">
      <w:start w:val="1"/>
      <w:numFmt w:val="bullet"/>
      <w:lvlText w:val=""/>
      <w:lvlJc w:val="left"/>
      <w:pPr>
        <w:ind w:left="1635" w:hanging="360"/>
      </w:pPr>
      <w:rPr>
        <w:rFonts w:ascii="Symbol" w:hAnsi="Symbol" w:hint="default"/>
      </w:rPr>
    </w:lvl>
    <w:lvl w:ilvl="1" w:tplc="040C0003" w:tentative="1">
      <w:start w:val="1"/>
      <w:numFmt w:val="bullet"/>
      <w:lvlText w:val="o"/>
      <w:lvlJc w:val="left"/>
      <w:pPr>
        <w:ind w:left="2355" w:hanging="360"/>
      </w:pPr>
      <w:rPr>
        <w:rFonts w:ascii="Courier New" w:hAnsi="Courier New" w:cs="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cs="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cs="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3">
    <w:nsid w:val="07CE2C56"/>
    <w:multiLevelType w:val="hybridMultilevel"/>
    <w:tmpl w:val="9940CA8C"/>
    <w:lvl w:ilvl="0" w:tplc="0DD0674E">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C62857"/>
    <w:multiLevelType w:val="hybridMultilevel"/>
    <w:tmpl w:val="79C2780A"/>
    <w:lvl w:ilvl="0" w:tplc="C4E2CA1C">
      <w:start w:val="4"/>
      <w:numFmt w:val="decimal"/>
      <w:lvlText w:val="%1."/>
      <w:lvlJc w:val="right"/>
      <w:pPr>
        <w:tabs>
          <w:tab w:val="num" w:pos="1080"/>
        </w:tabs>
        <w:ind w:left="720" w:hanging="360"/>
      </w:pPr>
      <w:rPr>
        <w:rFonts w:ascii="Calibri" w:hAnsi="Calibri" w:hint="default"/>
        <w:sz w:val="22"/>
        <w:szCs w:val="22"/>
      </w:rPr>
    </w:lvl>
    <w:lvl w:ilvl="1" w:tplc="3E4C4C3A">
      <w:numFmt w:val="bullet"/>
      <w:lvlText w:val="-"/>
      <w:lvlJc w:val="left"/>
      <w:pPr>
        <w:tabs>
          <w:tab w:val="num" w:pos="1440"/>
        </w:tabs>
        <w:ind w:left="1440" w:hanging="360"/>
      </w:pPr>
      <w:rPr>
        <w:rFonts w:ascii="Arial" w:eastAsia="Times New Roman" w:hAnsi="Arial" w:cs="Arial" w:hint="default"/>
        <w:sz w:val="22"/>
        <w:szCs w:val="22"/>
      </w:rPr>
    </w:lvl>
    <w:lvl w:ilvl="2" w:tplc="7A9AE744">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09EC5E66"/>
    <w:multiLevelType w:val="hybridMultilevel"/>
    <w:tmpl w:val="D610A300"/>
    <w:lvl w:ilvl="0" w:tplc="86CA9728">
      <w:start w:val="3"/>
      <w:numFmt w:val="bullet"/>
      <w:lvlText w:val="-"/>
      <w:lvlJc w:val="left"/>
      <w:pPr>
        <w:ind w:left="1287" w:hanging="360"/>
      </w:pPr>
      <w:rPr>
        <w:rFonts w:ascii="Calibri" w:eastAsiaTheme="minorHAnsi" w:hAnsi="Calibri" w:cs="Calibri" w:hint="default"/>
      </w:rPr>
    </w:lvl>
    <w:lvl w:ilvl="1" w:tplc="86CA9728">
      <w:start w:val="3"/>
      <w:numFmt w:val="bullet"/>
      <w:lvlText w:val="-"/>
      <w:lvlJc w:val="left"/>
      <w:pPr>
        <w:ind w:left="2007" w:hanging="360"/>
      </w:pPr>
      <w:rPr>
        <w:rFonts w:ascii="Calibri" w:eastAsiaTheme="minorHAnsi" w:hAnsi="Calibri" w:cs="Calibri"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0CF95BAB"/>
    <w:multiLevelType w:val="hybridMultilevel"/>
    <w:tmpl w:val="725CAB28"/>
    <w:lvl w:ilvl="0" w:tplc="5044969C">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1EFF44F1"/>
    <w:multiLevelType w:val="hybridMultilevel"/>
    <w:tmpl w:val="5A0A8868"/>
    <w:lvl w:ilvl="0" w:tplc="665C4FE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3FB7DCC"/>
    <w:multiLevelType w:val="hybridMultilevel"/>
    <w:tmpl w:val="9EB89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576D3"/>
    <w:multiLevelType w:val="hybridMultilevel"/>
    <w:tmpl w:val="A6B855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B07D27"/>
    <w:multiLevelType w:val="hybridMultilevel"/>
    <w:tmpl w:val="1FA0BAE2"/>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1">
    <w:nsid w:val="332F5261"/>
    <w:multiLevelType w:val="hybridMultilevel"/>
    <w:tmpl w:val="022A67F6"/>
    <w:lvl w:ilvl="0" w:tplc="EA0EA6E8">
      <w:start w:val="9"/>
      <w:numFmt w:val="lowerLetter"/>
      <w:lvlText w:val="(%1)"/>
      <w:lvlJc w:val="left"/>
      <w:pPr>
        <w:tabs>
          <w:tab w:val="num" w:pos="990"/>
        </w:tabs>
        <w:ind w:left="990" w:hanging="360"/>
      </w:pPr>
      <w:rPr>
        <w:rFonts w:hint="default"/>
      </w:rPr>
    </w:lvl>
    <w:lvl w:ilvl="1" w:tplc="B798EB0A">
      <w:start w:val="2"/>
      <w:numFmt w:val="lowerRoman"/>
      <w:lvlText w:val="(%2)"/>
      <w:lvlJc w:val="left"/>
      <w:pPr>
        <w:tabs>
          <w:tab w:val="num" w:pos="1800"/>
        </w:tabs>
        <w:ind w:left="1800" w:hanging="720"/>
      </w:pPr>
      <w:rPr>
        <w:rFonts w:hint="default"/>
      </w:rPr>
    </w:lvl>
    <w:lvl w:ilvl="2" w:tplc="8F6CBA26">
      <w:start w:val="9"/>
      <w:numFmt w:val="none"/>
      <w:lvlText w:val="(aa)"/>
      <w:lvlJc w:val="left"/>
      <w:pPr>
        <w:tabs>
          <w:tab w:val="num" w:pos="2700"/>
        </w:tabs>
        <w:ind w:left="1980" w:firstLine="0"/>
      </w:pPr>
      <w:rPr>
        <w:rFonts w:ascii="Times New Roman" w:hAnsi="Times New Roman" w:cs="Times New Roman" w:hint="default"/>
        <w:b w:val="0"/>
        <w:i w:val="0"/>
        <w:sz w:val="24"/>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9F63FD2"/>
    <w:multiLevelType w:val="hybridMultilevel"/>
    <w:tmpl w:val="B43E658C"/>
    <w:lvl w:ilvl="0" w:tplc="0D34E6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81A4973"/>
    <w:multiLevelType w:val="hybridMultilevel"/>
    <w:tmpl w:val="052818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B646EEA"/>
    <w:multiLevelType w:val="hybridMultilevel"/>
    <w:tmpl w:val="58C62092"/>
    <w:lvl w:ilvl="0" w:tplc="86CA9728">
      <w:start w:val="3"/>
      <w:numFmt w:val="bullet"/>
      <w:lvlText w:val="-"/>
      <w:lvlJc w:val="left"/>
      <w:pPr>
        <w:ind w:left="720" w:hanging="360"/>
      </w:pPr>
      <w:rPr>
        <w:rFonts w:ascii="Calibri" w:eastAsiaTheme="minorHAnsi" w:hAnsi="Calibri" w:cs="Calibri" w:hint="default"/>
      </w:rPr>
    </w:lvl>
    <w:lvl w:ilvl="1" w:tplc="CAE658A8">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CD124BA"/>
    <w:multiLevelType w:val="hybridMultilevel"/>
    <w:tmpl w:val="549C5F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FAC3014"/>
    <w:multiLevelType w:val="hybridMultilevel"/>
    <w:tmpl w:val="A7B0758E"/>
    <w:lvl w:ilvl="0" w:tplc="546C3536">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546C7E98"/>
    <w:multiLevelType w:val="hybridMultilevel"/>
    <w:tmpl w:val="B2168E9E"/>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F01AF3"/>
    <w:multiLevelType w:val="multilevel"/>
    <w:tmpl w:val="551C69A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59FD0D8E"/>
    <w:multiLevelType w:val="hybridMultilevel"/>
    <w:tmpl w:val="0F2EC3AC"/>
    <w:lvl w:ilvl="0" w:tplc="28B2AEF8">
      <w:start w:val="28"/>
      <w:numFmt w:val="lowerLetter"/>
      <w:lvlText w:val="(%1)"/>
      <w:lvlJc w:val="left"/>
      <w:pPr>
        <w:tabs>
          <w:tab w:val="num" w:pos="1350"/>
        </w:tabs>
        <w:ind w:left="1350" w:hanging="390"/>
      </w:pPr>
      <w:rPr>
        <w:rFonts w:hint="default"/>
      </w:rPr>
    </w:lvl>
    <w:lvl w:ilvl="1" w:tplc="040C0019" w:tentative="1">
      <w:start w:val="1"/>
      <w:numFmt w:val="lowerLetter"/>
      <w:lvlText w:val="%2."/>
      <w:lvlJc w:val="left"/>
      <w:pPr>
        <w:tabs>
          <w:tab w:val="num" w:pos="2040"/>
        </w:tabs>
        <w:ind w:left="2040" w:hanging="360"/>
      </w:pPr>
    </w:lvl>
    <w:lvl w:ilvl="2" w:tplc="040C001B" w:tentative="1">
      <w:start w:val="1"/>
      <w:numFmt w:val="lowerRoman"/>
      <w:lvlText w:val="%3."/>
      <w:lvlJc w:val="right"/>
      <w:pPr>
        <w:tabs>
          <w:tab w:val="num" w:pos="2760"/>
        </w:tabs>
        <w:ind w:left="2760" w:hanging="180"/>
      </w:pPr>
    </w:lvl>
    <w:lvl w:ilvl="3" w:tplc="040C000F" w:tentative="1">
      <w:start w:val="1"/>
      <w:numFmt w:val="decimal"/>
      <w:lvlText w:val="%4."/>
      <w:lvlJc w:val="left"/>
      <w:pPr>
        <w:tabs>
          <w:tab w:val="num" w:pos="3480"/>
        </w:tabs>
        <w:ind w:left="3480" w:hanging="360"/>
      </w:pPr>
    </w:lvl>
    <w:lvl w:ilvl="4" w:tplc="040C0019" w:tentative="1">
      <w:start w:val="1"/>
      <w:numFmt w:val="lowerLetter"/>
      <w:lvlText w:val="%5."/>
      <w:lvlJc w:val="left"/>
      <w:pPr>
        <w:tabs>
          <w:tab w:val="num" w:pos="4200"/>
        </w:tabs>
        <w:ind w:left="4200" w:hanging="360"/>
      </w:pPr>
    </w:lvl>
    <w:lvl w:ilvl="5" w:tplc="040C001B" w:tentative="1">
      <w:start w:val="1"/>
      <w:numFmt w:val="lowerRoman"/>
      <w:lvlText w:val="%6."/>
      <w:lvlJc w:val="right"/>
      <w:pPr>
        <w:tabs>
          <w:tab w:val="num" w:pos="4920"/>
        </w:tabs>
        <w:ind w:left="4920" w:hanging="180"/>
      </w:pPr>
    </w:lvl>
    <w:lvl w:ilvl="6" w:tplc="040C000F" w:tentative="1">
      <w:start w:val="1"/>
      <w:numFmt w:val="decimal"/>
      <w:lvlText w:val="%7."/>
      <w:lvlJc w:val="left"/>
      <w:pPr>
        <w:tabs>
          <w:tab w:val="num" w:pos="5640"/>
        </w:tabs>
        <w:ind w:left="5640" w:hanging="360"/>
      </w:pPr>
    </w:lvl>
    <w:lvl w:ilvl="7" w:tplc="040C0019" w:tentative="1">
      <w:start w:val="1"/>
      <w:numFmt w:val="lowerLetter"/>
      <w:lvlText w:val="%8."/>
      <w:lvlJc w:val="left"/>
      <w:pPr>
        <w:tabs>
          <w:tab w:val="num" w:pos="6360"/>
        </w:tabs>
        <w:ind w:left="6360" w:hanging="360"/>
      </w:pPr>
    </w:lvl>
    <w:lvl w:ilvl="8" w:tplc="040C001B" w:tentative="1">
      <w:start w:val="1"/>
      <w:numFmt w:val="lowerRoman"/>
      <w:lvlText w:val="%9."/>
      <w:lvlJc w:val="right"/>
      <w:pPr>
        <w:tabs>
          <w:tab w:val="num" w:pos="7080"/>
        </w:tabs>
        <w:ind w:left="7080" w:hanging="180"/>
      </w:pPr>
    </w:lvl>
  </w:abstractNum>
  <w:abstractNum w:abstractNumId="20">
    <w:nsid w:val="60E04CE3"/>
    <w:multiLevelType w:val="hybridMultilevel"/>
    <w:tmpl w:val="DF94AADA"/>
    <w:lvl w:ilvl="0" w:tplc="04090013">
      <w:start w:val="1"/>
      <w:numFmt w:val="upperRoman"/>
      <w:lvlText w:val="%1."/>
      <w:lvlJc w:val="righ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1">
    <w:nsid w:val="6C752396"/>
    <w:multiLevelType w:val="hybridMultilevel"/>
    <w:tmpl w:val="F1D8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0E16A2"/>
    <w:multiLevelType w:val="hybridMultilevel"/>
    <w:tmpl w:val="F0163772"/>
    <w:lvl w:ilvl="0" w:tplc="240C0001">
      <w:start w:val="1"/>
      <w:numFmt w:val="bullet"/>
      <w:lvlText w:val=""/>
      <w:lvlJc w:val="left"/>
      <w:pPr>
        <w:ind w:left="2061" w:hanging="360"/>
      </w:pPr>
      <w:rPr>
        <w:rFonts w:ascii="Symbol" w:hAnsi="Symbol" w:hint="default"/>
      </w:rPr>
    </w:lvl>
    <w:lvl w:ilvl="1" w:tplc="240C0003" w:tentative="1">
      <w:start w:val="1"/>
      <w:numFmt w:val="bullet"/>
      <w:lvlText w:val="o"/>
      <w:lvlJc w:val="left"/>
      <w:pPr>
        <w:ind w:left="2781" w:hanging="360"/>
      </w:pPr>
      <w:rPr>
        <w:rFonts w:ascii="Courier New" w:hAnsi="Courier New" w:cs="Courier New" w:hint="default"/>
      </w:rPr>
    </w:lvl>
    <w:lvl w:ilvl="2" w:tplc="240C0005" w:tentative="1">
      <w:start w:val="1"/>
      <w:numFmt w:val="bullet"/>
      <w:lvlText w:val=""/>
      <w:lvlJc w:val="left"/>
      <w:pPr>
        <w:ind w:left="3501" w:hanging="360"/>
      </w:pPr>
      <w:rPr>
        <w:rFonts w:ascii="Wingdings" w:hAnsi="Wingdings" w:hint="default"/>
      </w:rPr>
    </w:lvl>
    <w:lvl w:ilvl="3" w:tplc="240C0001" w:tentative="1">
      <w:start w:val="1"/>
      <w:numFmt w:val="bullet"/>
      <w:lvlText w:val=""/>
      <w:lvlJc w:val="left"/>
      <w:pPr>
        <w:ind w:left="4221" w:hanging="360"/>
      </w:pPr>
      <w:rPr>
        <w:rFonts w:ascii="Symbol" w:hAnsi="Symbol" w:hint="default"/>
      </w:rPr>
    </w:lvl>
    <w:lvl w:ilvl="4" w:tplc="240C0003" w:tentative="1">
      <w:start w:val="1"/>
      <w:numFmt w:val="bullet"/>
      <w:lvlText w:val="o"/>
      <w:lvlJc w:val="left"/>
      <w:pPr>
        <w:ind w:left="4941" w:hanging="360"/>
      </w:pPr>
      <w:rPr>
        <w:rFonts w:ascii="Courier New" w:hAnsi="Courier New" w:cs="Courier New" w:hint="default"/>
      </w:rPr>
    </w:lvl>
    <w:lvl w:ilvl="5" w:tplc="240C0005" w:tentative="1">
      <w:start w:val="1"/>
      <w:numFmt w:val="bullet"/>
      <w:lvlText w:val=""/>
      <w:lvlJc w:val="left"/>
      <w:pPr>
        <w:ind w:left="5661" w:hanging="360"/>
      </w:pPr>
      <w:rPr>
        <w:rFonts w:ascii="Wingdings" w:hAnsi="Wingdings" w:hint="default"/>
      </w:rPr>
    </w:lvl>
    <w:lvl w:ilvl="6" w:tplc="240C0001" w:tentative="1">
      <w:start w:val="1"/>
      <w:numFmt w:val="bullet"/>
      <w:lvlText w:val=""/>
      <w:lvlJc w:val="left"/>
      <w:pPr>
        <w:ind w:left="6381" w:hanging="360"/>
      </w:pPr>
      <w:rPr>
        <w:rFonts w:ascii="Symbol" w:hAnsi="Symbol" w:hint="default"/>
      </w:rPr>
    </w:lvl>
    <w:lvl w:ilvl="7" w:tplc="240C0003" w:tentative="1">
      <w:start w:val="1"/>
      <w:numFmt w:val="bullet"/>
      <w:lvlText w:val="o"/>
      <w:lvlJc w:val="left"/>
      <w:pPr>
        <w:ind w:left="7101" w:hanging="360"/>
      </w:pPr>
      <w:rPr>
        <w:rFonts w:ascii="Courier New" w:hAnsi="Courier New" w:cs="Courier New" w:hint="default"/>
      </w:rPr>
    </w:lvl>
    <w:lvl w:ilvl="8" w:tplc="240C0005" w:tentative="1">
      <w:start w:val="1"/>
      <w:numFmt w:val="bullet"/>
      <w:lvlText w:val=""/>
      <w:lvlJc w:val="left"/>
      <w:pPr>
        <w:ind w:left="7821" w:hanging="360"/>
      </w:pPr>
      <w:rPr>
        <w:rFonts w:ascii="Wingdings" w:hAnsi="Wingdings" w:hint="default"/>
      </w:rPr>
    </w:lvl>
  </w:abstractNum>
  <w:num w:numId="1">
    <w:abstractNumId w:val="1"/>
  </w:num>
  <w:num w:numId="2">
    <w:abstractNumId w:val="21"/>
  </w:num>
  <w:num w:numId="3">
    <w:abstractNumId w:val="3"/>
  </w:num>
  <w:num w:numId="4">
    <w:abstractNumId w:val="13"/>
  </w:num>
  <w:num w:numId="5">
    <w:abstractNumId w:val="15"/>
  </w:num>
  <w:num w:numId="6">
    <w:abstractNumId w:val="9"/>
  </w:num>
  <w:num w:numId="7">
    <w:abstractNumId w:val="7"/>
  </w:num>
  <w:num w:numId="8">
    <w:abstractNumId w:val="8"/>
  </w:num>
  <w:num w:numId="9">
    <w:abstractNumId w:val="0"/>
  </w:num>
  <w:num w:numId="10">
    <w:abstractNumId w:val="20"/>
  </w:num>
  <w:num w:numId="11">
    <w:abstractNumId w:val="22"/>
  </w:num>
  <w:num w:numId="12">
    <w:abstractNumId w:val="18"/>
  </w:num>
  <w:num w:numId="13">
    <w:abstractNumId w:val="2"/>
  </w:num>
  <w:num w:numId="14">
    <w:abstractNumId w:val="10"/>
  </w:num>
  <w:num w:numId="15">
    <w:abstractNumId w:val="6"/>
  </w:num>
  <w:num w:numId="16">
    <w:abstractNumId w:val="17"/>
  </w:num>
  <w:num w:numId="17">
    <w:abstractNumId w:val="12"/>
  </w:num>
  <w:num w:numId="18">
    <w:abstractNumId w:val="14"/>
  </w:num>
  <w:num w:numId="19">
    <w:abstractNumId w:val="16"/>
  </w:num>
  <w:num w:numId="20">
    <w:abstractNumId w:val="4"/>
  </w:num>
  <w:num w:numId="21">
    <w:abstractNumId w:val="11"/>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D6"/>
    <w:rsid w:val="000368DA"/>
    <w:rsid w:val="0009776C"/>
    <w:rsid w:val="000B4AA2"/>
    <w:rsid w:val="000C4C75"/>
    <w:rsid w:val="000D64BB"/>
    <w:rsid w:val="000F740C"/>
    <w:rsid w:val="0010637B"/>
    <w:rsid w:val="00120A3B"/>
    <w:rsid w:val="0013723D"/>
    <w:rsid w:val="001B53EC"/>
    <w:rsid w:val="00226ACF"/>
    <w:rsid w:val="002506F5"/>
    <w:rsid w:val="002516D6"/>
    <w:rsid w:val="0025540D"/>
    <w:rsid w:val="002700A7"/>
    <w:rsid w:val="00275F09"/>
    <w:rsid w:val="00277E0C"/>
    <w:rsid w:val="00282A66"/>
    <w:rsid w:val="002922D1"/>
    <w:rsid w:val="002A2DC5"/>
    <w:rsid w:val="002A7959"/>
    <w:rsid w:val="0032244E"/>
    <w:rsid w:val="00330258"/>
    <w:rsid w:val="00363E87"/>
    <w:rsid w:val="003648D7"/>
    <w:rsid w:val="003773CB"/>
    <w:rsid w:val="003B0E95"/>
    <w:rsid w:val="003E50AD"/>
    <w:rsid w:val="003F1AD3"/>
    <w:rsid w:val="004023D6"/>
    <w:rsid w:val="00412388"/>
    <w:rsid w:val="00422089"/>
    <w:rsid w:val="004653D5"/>
    <w:rsid w:val="00467177"/>
    <w:rsid w:val="004908B0"/>
    <w:rsid w:val="004B1D61"/>
    <w:rsid w:val="004B25F7"/>
    <w:rsid w:val="004B308A"/>
    <w:rsid w:val="004B7869"/>
    <w:rsid w:val="00502854"/>
    <w:rsid w:val="00505249"/>
    <w:rsid w:val="005129EE"/>
    <w:rsid w:val="00522242"/>
    <w:rsid w:val="005718D4"/>
    <w:rsid w:val="00581522"/>
    <w:rsid w:val="005A484B"/>
    <w:rsid w:val="005B3CF9"/>
    <w:rsid w:val="005B6F95"/>
    <w:rsid w:val="0060322F"/>
    <w:rsid w:val="006765E4"/>
    <w:rsid w:val="006958B0"/>
    <w:rsid w:val="006D55C0"/>
    <w:rsid w:val="00714B89"/>
    <w:rsid w:val="007469CC"/>
    <w:rsid w:val="00753FC1"/>
    <w:rsid w:val="00767BC0"/>
    <w:rsid w:val="00796898"/>
    <w:rsid w:val="007F17C9"/>
    <w:rsid w:val="007F3406"/>
    <w:rsid w:val="007F46C1"/>
    <w:rsid w:val="00884E0B"/>
    <w:rsid w:val="008C60BF"/>
    <w:rsid w:val="008D3D89"/>
    <w:rsid w:val="008F758B"/>
    <w:rsid w:val="00906B98"/>
    <w:rsid w:val="00942C04"/>
    <w:rsid w:val="009913D2"/>
    <w:rsid w:val="00994520"/>
    <w:rsid w:val="009B469E"/>
    <w:rsid w:val="00A347F1"/>
    <w:rsid w:val="00A63E7F"/>
    <w:rsid w:val="00A65CCD"/>
    <w:rsid w:val="00AA3031"/>
    <w:rsid w:val="00AA75C1"/>
    <w:rsid w:val="00AE037B"/>
    <w:rsid w:val="00AF2EA6"/>
    <w:rsid w:val="00B02AA8"/>
    <w:rsid w:val="00B26E47"/>
    <w:rsid w:val="00B57D53"/>
    <w:rsid w:val="00B71946"/>
    <w:rsid w:val="00BF0972"/>
    <w:rsid w:val="00C3503C"/>
    <w:rsid w:val="00C47C2C"/>
    <w:rsid w:val="00C52A0A"/>
    <w:rsid w:val="00CB421F"/>
    <w:rsid w:val="00CC34EB"/>
    <w:rsid w:val="00CD2281"/>
    <w:rsid w:val="00D330C2"/>
    <w:rsid w:val="00D33603"/>
    <w:rsid w:val="00DC3193"/>
    <w:rsid w:val="00DD7E9D"/>
    <w:rsid w:val="00DF4A05"/>
    <w:rsid w:val="00E1004B"/>
    <w:rsid w:val="00E2358C"/>
    <w:rsid w:val="00E9113B"/>
    <w:rsid w:val="00ED5229"/>
    <w:rsid w:val="00F44FF9"/>
    <w:rsid w:val="00F77A0F"/>
    <w:rsid w:val="00F830DC"/>
    <w:rsid w:val="00FC2A5C"/>
    <w:rsid w:val="00FD1F20"/>
    <w:rsid w:val="00FD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A180A"/>
  <w15:chartTrackingRefBased/>
  <w15:docId w15:val="{100558DA-28D8-4412-9F8E-ED4E5987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3D6"/>
    <w:pPr>
      <w:spacing w:after="0" w:line="240" w:lineRule="auto"/>
    </w:pPr>
    <w:rPr>
      <w:rFonts w:ascii="Times New Roman" w:eastAsia="Times New Roman" w:hAnsi="Times New Roman" w:cs="Times New Roman"/>
      <w:sz w:val="24"/>
      <w:szCs w:val="24"/>
    </w:rPr>
  </w:style>
  <w:style w:type="paragraph" w:styleId="Titre3">
    <w:name w:val="heading 3"/>
    <w:next w:val="Normal"/>
    <w:link w:val="Titre3Car"/>
    <w:uiPriority w:val="9"/>
    <w:unhideWhenUsed/>
    <w:qFormat/>
    <w:rsid w:val="001B53EC"/>
    <w:pPr>
      <w:keepNext/>
      <w:keepLines/>
      <w:spacing w:before="120" w:after="120" w:line="240" w:lineRule="auto"/>
      <w:ind w:left="17" w:right="-15" w:hanging="10"/>
      <w:jc w:val="both"/>
      <w:outlineLvl w:val="2"/>
    </w:pPr>
    <w:rPr>
      <w:rFonts w:eastAsia="Tahoma" w:cs="Tahoma"/>
      <w:b/>
      <w:caps/>
      <w:color w:val="000000"/>
      <w:sz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exte Général,Paragraphe  revu,Paragraphe de liste1,Bullets,References,Liste 1,Numbered List Paragraph,ReferencesCxSpLast,Medium Grid 1 - Accent 21,List Paragraph nowy,List Paragraph (numbered (a)),List Paragraph1,Ha,List Bullet Mary"/>
    <w:basedOn w:val="Normal"/>
    <w:link w:val="ParagraphedelisteCar"/>
    <w:uiPriority w:val="34"/>
    <w:qFormat/>
    <w:rsid w:val="004023D6"/>
    <w:pPr>
      <w:spacing w:after="200" w:line="276" w:lineRule="auto"/>
      <w:ind w:left="720"/>
      <w:contextualSpacing/>
    </w:pPr>
    <w:rPr>
      <w:rFonts w:ascii="Calibri" w:eastAsia="Calibri" w:hAnsi="Calibri" w:cs="SimSun"/>
      <w:sz w:val="22"/>
      <w:szCs w:val="22"/>
      <w:lang w:val="fr-FR"/>
    </w:rPr>
  </w:style>
  <w:style w:type="character" w:customStyle="1" w:styleId="ParagraphedelisteCar">
    <w:name w:val="Paragraphe de liste Car"/>
    <w:aliases w:val="Texte Général Car,Paragraphe  revu Car,Paragraphe de liste1 Car,Bullets Car,References Car,Liste 1 Car,Numbered List Paragraph Car,ReferencesCxSpLast Car,Medium Grid 1 - Accent 21 Car,List Paragraph nowy Car,List Paragraph1 Car"/>
    <w:link w:val="Paragraphedeliste"/>
    <w:uiPriority w:val="34"/>
    <w:qFormat/>
    <w:rsid w:val="004023D6"/>
    <w:rPr>
      <w:rFonts w:ascii="Calibri" w:eastAsia="Calibri" w:hAnsi="Calibri" w:cs="SimSun"/>
      <w:lang w:val="fr-FR"/>
    </w:rPr>
  </w:style>
  <w:style w:type="paragraph" w:customStyle="1" w:styleId="Style">
    <w:name w:val="Style"/>
    <w:rsid w:val="004023D6"/>
    <w:pPr>
      <w:widowControl w:val="0"/>
      <w:autoSpaceDE w:val="0"/>
      <w:autoSpaceDN w:val="0"/>
      <w:adjustRightInd w:val="0"/>
      <w:spacing w:after="0" w:line="240" w:lineRule="auto"/>
    </w:pPr>
    <w:rPr>
      <w:rFonts w:ascii="Arial" w:eastAsia="Times New Roman" w:hAnsi="Arial" w:cs="Arial"/>
      <w:sz w:val="24"/>
      <w:szCs w:val="24"/>
    </w:rPr>
  </w:style>
  <w:style w:type="paragraph" w:styleId="En-tte">
    <w:name w:val="header"/>
    <w:basedOn w:val="Normal"/>
    <w:link w:val="En-tteCar"/>
    <w:uiPriority w:val="99"/>
    <w:unhideWhenUsed/>
    <w:rsid w:val="00B71946"/>
    <w:pPr>
      <w:tabs>
        <w:tab w:val="center" w:pos="4703"/>
        <w:tab w:val="right" w:pos="9406"/>
      </w:tabs>
    </w:pPr>
  </w:style>
  <w:style w:type="character" w:customStyle="1" w:styleId="En-tteCar">
    <w:name w:val="En-tête Car"/>
    <w:basedOn w:val="Policepardfaut"/>
    <w:link w:val="En-tte"/>
    <w:uiPriority w:val="99"/>
    <w:rsid w:val="00B71946"/>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B71946"/>
    <w:pPr>
      <w:tabs>
        <w:tab w:val="center" w:pos="4703"/>
        <w:tab w:val="right" w:pos="9406"/>
      </w:tabs>
    </w:pPr>
  </w:style>
  <w:style w:type="character" w:customStyle="1" w:styleId="PieddepageCar">
    <w:name w:val="Pied de page Car"/>
    <w:basedOn w:val="Policepardfaut"/>
    <w:link w:val="Pieddepage"/>
    <w:uiPriority w:val="99"/>
    <w:rsid w:val="00B71946"/>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E911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113B"/>
    <w:rPr>
      <w:rFonts w:ascii="Segoe UI" w:eastAsia="Times New Roman" w:hAnsi="Segoe UI" w:cs="Segoe UI"/>
      <w:sz w:val="18"/>
      <w:szCs w:val="18"/>
    </w:rPr>
  </w:style>
  <w:style w:type="character" w:styleId="Marquedecommentaire">
    <w:name w:val="annotation reference"/>
    <w:basedOn w:val="Policepardfaut"/>
    <w:uiPriority w:val="99"/>
    <w:semiHidden/>
    <w:unhideWhenUsed/>
    <w:rsid w:val="007F3406"/>
    <w:rPr>
      <w:sz w:val="16"/>
      <w:szCs w:val="16"/>
    </w:rPr>
  </w:style>
  <w:style w:type="paragraph" w:styleId="Commentaire">
    <w:name w:val="annotation text"/>
    <w:basedOn w:val="Normal"/>
    <w:link w:val="CommentaireCar"/>
    <w:uiPriority w:val="99"/>
    <w:semiHidden/>
    <w:unhideWhenUsed/>
    <w:rsid w:val="007F3406"/>
    <w:pPr>
      <w:spacing w:after="160"/>
    </w:pPr>
    <w:rPr>
      <w:rFonts w:asciiTheme="minorHAnsi" w:eastAsiaTheme="minorHAnsi" w:hAnsiTheme="minorHAnsi" w:cstheme="minorBidi"/>
      <w:sz w:val="20"/>
      <w:szCs w:val="20"/>
      <w:lang w:val="fr-FR"/>
    </w:rPr>
  </w:style>
  <w:style w:type="character" w:customStyle="1" w:styleId="CommentaireCar">
    <w:name w:val="Commentaire Car"/>
    <w:basedOn w:val="Policepardfaut"/>
    <w:link w:val="Commentaire"/>
    <w:uiPriority w:val="99"/>
    <w:semiHidden/>
    <w:rsid w:val="007F3406"/>
    <w:rPr>
      <w:sz w:val="20"/>
      <w:szCs w:val="20"/>
      <w:lang w:val="fr-FR"/>
    </w:rPr>
  </w:style>
  <w:style w:type="character" w:customStyle="1" w:styleId="Titre3Car">
    <w:name w:val="Titre 3 Car"/>
    <w:basedOn w:val="Policepardfaut"/>
    <w:link w:val="Titre3"/>
    <w:uiPriority w:val="9"/>
    <w:rsid w:val="001B53EC"/>
    <w:rPr>
      <w:rFonts w:eastAsia="Tahoma" w:cs="Tahoma"/>
      <w:b/>
      <w:caps/>
      <w:color w:val="000000"/>
      <w:sz w:val="26"/>
      <w:lang w:val="fr-FR" w:eastAsia="fr-FR"/>
    </w:rPr>
  </w:style>
  <w:style w:type="paragraph" w:styleId="Notedebasdepage">
    <w:name w:val="footnote text"/>
    <w:basedOn w:val="Normal"/>
    <w:link w:val="NotedebasdepageCar"/>
    <w:uiPriority w:val="99"/>
    <w:semiHidden/>
    <w:unhideWhenUsed/>
    <w:rsid w:val="00CD2281"/>
    <w:rPr>
      <w:sz w:val="20"/>
      <w:szCs w:val="20"/>
    </w:rPr>
  </w:style>
  <w:style w:type="character" w:customStyle="1" w:styleId="NotedebasdepageCar">
    <w:name w:val="Note de bas de page Car"/>
    <w:basedOn w:val="Policepardfaut"/>
    <w:link w:val="Notedebasdepage"/>
    <w:uiPriority w:val="99"/>
    <w:semiHidden/>
    <w:rsid w:val="00CD2281"/>
    <w:rPr>
      <w:rFonts w:ascii="Times New Roman" w:eastAsia="Times New Roman" w:hAnsi="Times New Roman" w:cs="Times New Roman"/>
      <w:sz w:val="20"/>
      <w:szCs w:val="20"/>
    </w:rPr>
  </w:style>
  <w:style w:type="character" w:styleId="Appelnotedebasdep">
    <w:name w:val="footnote reference"/>
    <w:aliases w:val="16 Point,Superscript 6 Point,ftref,BVI fnr,Ref,de nota al pie,fr,Used by Word for Help footnote symbols,Car Car Char Car Char Car Car Char Car Char Char,SUPERS,BVI f, Car Car Char Car Char Car Car Char Car Char Char,R,Footnote"/>
    <w:link w:val="FNRefeCharChar"/>
    <w:qFormat/>
    <w:rsid w:val="00CD2281"/>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BVI fnr Car Car Char Char Char,BVI fnr Car Car Car Car Char Char Char Char Char"/>
    <w:basedOn w:val="Normal"/>
    <w:link w:val="Appelnotedebasdep"/>
    <w:rsid w:val="00CD2281"/>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D1ECD-2BC0-48FD-834F-D30441F1B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BB088-9306-4FBA-AC44-344E3D04DFA8}">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48151053-7B65-407F-B4B9-FDA642AB4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2102</Words>
  <Characters>11563</Characters>
  <Application>Microsoft Office Word</Application>
  <DocSecurity>0</DocSecurity>
  <Lines>96</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3PLMek</cp:lastModifiedBy>
  <cp:revision>2</cp:revision>
  <dcterms:created xsi:type="dcterms:W3CDTF">2023-07-05T05:22:00Z</dcterms:created>
  <dcterms:modified xsi:type="dcterms:W3CDTF">2023-07-05T05:22:00Z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